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theme/themeOverride2.xml" ContentType="application/vnd.openxmlformats-officedocument.themeOverrid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theme/themeOverride3.xml" ContentType="application/vnd.openxmlformats-officedocument.themeOverrid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theme/themeOverride4.xml" ContentType="application/vnd.openxmlformats-officedocument.themeOverrid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theme/themeOverride5.xml" ContentType="application/vnd.openxmlformats-officedocument.themeOverrid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theme/themeOverride6.xml" ContentType="application/vnd.openxmlformats-officedocument.themeOverrid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theme/themeOverride7.xml" ContentType="application/vnd.openxmlformats-officedocument.themeOverride+xml"/>
  <Override PartName="/word/charts/chart8.xml" ContentType="application/vnd.openxmlformats-officedocument.drawingml.chart+xml"/>
  <Override PartName="/word/charts/style8.xml" ContentType="application/vnd.ms-office.chartstyle+xml"/>
  <Override PartName="/word/charts/colors8.xml" ContentType="application/vnd.ms-office.chartcolorstyle+xml"/>
  <Override PartName="/word/theme/themeOverride8.xml" ContentType="application/vnd.openxmlformats-officedocument.themeOverride+xml"/>
  <Override PartName="/word/charts/chart9.xml" ContentType="application/vnd.openxmlformats-officedocument.drawingml.chart+xml"/>
  <Override PartName="/word/charts/style9.xml" ContentType="application/vnd.ms-office.chartstyle+xml"/>
  <Override PartName="/word/charts/colors9.xml" ContentType="application/vnd.ms-office.chartcolorstyle+xml"/>
  <Override PartName="/word/theme/themeOverride9.xml" ContentType="application/vnd.openxmlformats-officedocument.themeOverrid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E1D9D" w:rsidRDefault="002E1D9D" w:rsidP="002E1D9D">
      <w:pPr>
        <w:pStyle w:val="01"/>
        <w:rPr>
          <w:szCs w:val="36"/>
        </w:rPr>
      </w:pPr>
      <w:r>
        <w:rPr>
          <w:rFonts w:hint="eastAsia"/>
        </w:rPr>
        <w:t>運動鞋類其品牌形象和知覺價值對消費者購買意願之影響</w:t>
      </w:r>
    </w:p>
    <w:p w:rsidR="002E1D9D" w:rsidRDefault="002E1D9D" w:rsidP="002E1D9D">
      <w:pPr>
        <w:pStyle w:val="02"/>
        <w:rPr>
          <w:sz w:val="32"/>
          <w:szCs w:val="32"/>
        </w:rPr>
      </w:pPr>
      <w:r>
        <w:t>The Influence of Brand Image and Perceived Value of Sneakers Type on Consumer Purchase Intention</w:t>
      </w:r>
    </w:p>
    <w:p w:rsidR="00285F43" w:rsidRPr="00447A97" w:rsidRDefault="00285F43" w:rsidP="00285F43">
      <w:pPr>
        <w:pStyle w:val="03"/>
      </w:pPr>
      <w:r>
        <w:rPr>
          <w:rFonts w:hint="eastAsia"/>
        </w:rPr>
        <w:t>吳</w:t>
      </w:r>
      <w:proofErr w:type="gramStart"/>
      <w:r>
        <w:rPr>
          <w:rFonts w:hint="eastAsia"/>
        </w:rPr>
        <w:t>京倫、</w:t>
      </w:r>
      <w:proofErr w:type="gramEnd"/>
      <w:r>
        <w:rPr>
          <w:rFonts w:hint="eastAsia"/>
        </w:rPr>
        <w:t>謝建騰</w:t>
      </w:r>
    </w:p>
    <w:p w:rsidR="00285F43" w:rsidRPr="00447A97" w:rsidRDefault="00285F43" w:rsidP="00285F43">
      <w:pPr>
        <w:pStyle w:val="03"/>
        <w:wordWrap w:val="0"/>
      </w:pPr>
      <w:r>
        <w:rPr>
          <w:rFonts w:hint="eastAsia"/>
        </w:rPr>
        <w:t>J</w:t>
      </w:r>
      <w:r>
        <w:t>ing-</w:t>
      </w:r>
      <w:proofErr w:type="spellStart"/>
      <w:r>
        <w:t>Lun</w:t>
      </w:r>
      <w:proofErr w:type="spellEnd"/>
      <w:r>
        <w:t xml:space="preserve"> Wu,</w:t>
      </w:r>
      <w:r>
        <w:rPr>
          <w:rFonts w:hint="eastAsia"/>
        </w:rPr>
        <w:t xml:space="preserve"> </w:t>
      </w:r>
      <w:proofErr w:type="spellStart"/>
      <w:r>
        <w:rPr>
          <w:rFonts w:hint="eastAsia"/>
        </w:rPr>
        <w:t>Chien</w:t>
      </w:r>
      <w:proofErr w:type="spellEnd"/>
      <w:r>
        <w:rPr>
          <w:rFonts w:hint="eastAsia"/>
        </w:rPr>
        <w:t xml:space="preserve">-Teng </w:t>
      </w:r>
      <w:r>
        <w:t>Hsieh</w:t>
      </w:r>
    </w:p>
    <w:p w:rsidR="00285F43" w:rsidRPr="00447A97" w:rsidRDefault="00285F43" w:rsidP="00285F43">
      <w:pPr>
        <w:pStyle w:val="03"/>
      </w:pPr>
      <w:r>
        <w:rPr>
          <w:rFonts w:hint="eastAsia"/>
        </w:rPr>
        <w:t>實踐大學</w:t>
      </w:r>
      <w:r>
        <w:rPr>
          <w:rFonts w:hint="eastAsia"/>
        </w:rPr>
        <w:t>(</w:t>
      </w:r>
      <w:r>
        <w:rPr>
          <w:rFonts w:hint="eastAsia"/>
        </w:rPr>
        <w:t>高雄校區</w:t>
      </w:r>
      <w:r>
        <w:rPr>
          <w:rFonts w:hint="eastAsia"/>
        </w:rPr>
        <w:t>)</w:t>
      </w:r>
      <w:r>
        <w:rPr>
          <w:rFonts w:hint="eastAsia"/>
        </w:rPr>
        <w:t>服飾設計與經營學系</w:t>
      </w:r>
    </w:p>
    <w:p w:rsidR="00285F43" w:rsidRPr="001C2E51" w:rsidRDefault="00285F43" w:rsidP="00C3480F">
      <w:pPr>
        <w:pStyle w:val="03"/>
        <w:wordWrap w:val="0"/>
      </w:pPr>
      <w:r>
        <w:t xml:space="preserve">Department of Fashion Design </w:t>
      </w:r>
      <w:r w:rsidR="00C3480F">
        <w:t>a</w:t>
      </w:r>
      <w:r>
        <w:t>nd Merchandising</w:t>
      </w:r>
      <w:r w:rsidR="00C3480F">
        <w:t xml:space="preserve"> Shih </w:t>
      </w:r>
      <w:proofErr w:type="spellStart"/>
      <w:r w:rsidR="00C3480F">
        <w:t>Chien</w:t>
      </w:r>
      <w:proofErr w:type="spellEnd"/>
      <w:r w:rsidR="00C3480F">
        <w:t xml:space="preserve"> University Kaohsiung Campus</w:t>
      </w:r>
    </w:p>
    <w:p w:rsidR="00285F43" w:rsidRPr="00447A97" w:rsidRDefault="00285F43" w:rsidP="00285F43">
      <w:pPr>
        <w:pStyle w:val="03"/>
      </w:pPr>
      <w:proofErr w:type="spellStart"/>
      <w:r>
        <w:rPr>
          <w:rFonts w:hint="eastAsia"/>
        </w:rPr>
        <w:t>Chien</w:t>
      </w:r>
      <w:proofErr w:type="spellEnd"/>
      <w:r>
        <w:rPr>
          <w:rFonts w:hint="eastAsia"/>
        </w:rPr>
        <w:t xml:space="preserve">-Teng </w:t>
      </w:r>
      <w:proofErr w:type="gramStart"/>
      <w:r>
        <w:rPr>
          <w:rFonts w:hint="eastAsia"/>
        </w:rPr>
        <w:t>Hsieh</w:t>
      </w:r>
      <w:r>
        <w:t xml:space="preserve"> </w:t>
      </w:r>
      <w:r>
        <w:rPr>
          <w:rFonts w:hint="eastAsia"/>
        </w:rPr>
        <w:t>:</w:t>
      </w:r>
      <w:proofErr w:type="gramEnd"/>
      <w:r>
        <w:rPr>
          <w:rFonts w:hint="eastAsia"/>
        </w:rPr>
        <w:t xml:space="preserve"> edo@g2.usc.edu.tw</w:t>
      </w:r>
    </w:p>
    <w:p w:rsidR="00A02135" w:rsidRPr="00CC0E7F" w:rsidRDefault="00E535C2" w:rsidP="00CC0E7F">
      <w:pPr>
        <w:pStyle w:val="04--"/>
      </w:pPr>
      <w:r w:rsidRPr="00CC0E7F">
        <w:rPr>
          <w:rFonts w:hint="eastAsia"/>
        </w:rPr>
        <w:t>摘要</w:t>
      </w:r>
    </w:p>
    <w:p w:rsidR="00A02135" w:rsidRDefault="00285F43" w:rsidP="00CC0E7F">
      <w:pPr>
        <w:pStyle w:val="05"/>
      </w:pPr>
      <w:r w:rsidRPr="00AF33DD">
        <w:rPr>
          <w:rFonts w:hint="eastAsia"/>
        </w:rPr>
        <w:t>隨著國內運動相關的賽事活動帶來的一股風潮，使得國內消費者在運動消費上的支出明顯上升，帶動整體運動產業快速成長。而運動消費中，所占比例最高的為運動鞋類的支出，因此如何讓消費者能在眾多競爭的運動品牌中，能快速的辨別、選擇以及哪些原因會產生購買意願，成為各運動品牌鞋類必須關注的重點。本研究的目的是針對運動品牌在運動鞋類市場的競爭，提出以運動項目與行為模式，探討如何能增加市場中的占有率。以發放網路問卷的方式，採用便利性抽樣，研究消費者的品牌形象、知覺價值、購賣意願，回收有效問卷為</w:t>
      </w:r>
      <w:r w:rsidRPr="00AF33DD">
        <w:t>410</w:t>
      </w:r>
      <w:r w:rsidRPr="00AF33DD">
        <w:rPr>
          <w:rFonts w:hint="eastAsia"/>
        </w:rPr>
        <w:t>份，信度分析皆大於</w:t>
      </w:r>
      <w:r w:rsidRPr="00AF33DD">
        <w:t>0.7</w:t>
      </w:r>
      <w:r w:rsidRPr="00AF33DD">
        <w:rPr>
          <w:rFonts w:hint="eastAsia"/>
        </w:rPr>
        <w:t>以上。研究方式透過</w:t>
      </w:r>
      <w:r w:rsidRPr="00AF33DD">
        <w:t>SPSS</w:t>
      </w:r>
      <w:r w:rsidRPr="00AF33DD">
        <w:rPr>
          <w:rFonts w:hint="eastAsia"/>
        </w:rPr>
        <w:t>中的因素分析、信度分析、皮爾森相關分析、</w:t>
      </w:r>
      <w:r w:rsidRPr="00AF33DD">
        <w:t>ANOVA</w:t>
      </w:r>
      <w:r w:rsidRPr="00AF33DD">
        <w:rPr>
          <w:rFonts w:hint="eastAsia"/>
        </w:rPr>
        <w:t>、獨立樣本</w:t>
      </w:r>
      <w:r w:rsidRPr="00AF33DD">
        <w:t>T</w:t>
      </w:r>
      <w:r w:rsidRPr="00AF33DD">
        <w:rPr>
          <w:rFonts w:hint="eastAsia"/>
        </w:rPr>
        <w:t>檢定進行分析與討論。研究結果發現</w:t>
      </w:r>
      <w:r w:rsidRPr="00AF33DD">
        <w:t>:</w:t>
      </w:r>
      <w:r w:rsidRPr="00AF33DD">
        <w:rPr>
          <w:rFonts w:hint="eastAsia"/>
        </w:rPr>
        <w:t>無論是男女性的消費者都會因運動防護而挑選適合自己的運動鞋類、消費者在購買運動鞋類會受到群體影響。</w:t>
      </w:r>
    </w:p>
    <w:p w:rsidR="0012716A" w:rsidRPr="009B16CE" w:rsidRDefault="0012716A" w:rsidP="00CC0E7F">
      <w:pPr>
        <w:pStyle w:val="06"/>
      </w:pPr>
      <w:r w:rsidRPr="00955AF6">
        <w:rPr>
          <w:rFonts w:hint="eastAsia"/>
        </w:rPr>
        <w:t>關鍵字：</w:t>
      </w:r>
      <w:r w:rsidR="00285F43">
        <w:rPr>
          <w:rFonts w:hint="eastAsia"/>
        </w:rPr>
        <w:t>品牌形象、知覺價值、運動防護、品牌聯想、購買意願</w:t>
      </w:r>
    </w:p>
    <w:p w:rsidR="00B66C9C" w:rsidRDefault="00B66C9C" w:rsidP="00CC0E7F">
      <w:pPr>
        <w:pStyle w:val="04--"/>
      </w:pPr>
      <w:r>
        <w:rPr>
          <w:rFonts w:hint="eastAsia"/>
        </w:rPr>
        <w:t>Abstract</w:t>
      </w:r>
    </w:p>
    <w:p w:rsidR="0039750C" w:rsidRPr="007132C5" w:rsidRDefault="0039750C" w:rsidP="007132C5">
      <w:pPr>
        <w:pStyle w:val="05"/>
      </w:pPr>
      <w:r w:rsidRPr="007132C5">
        <w:t xml:space="preserve">With a wave of domestic sports-related events and activities, domestic consumers' spending on sports consumption has increased significantly, which has driven the rapid growth of the overall sports industry. In sports consumption, the spending on sports shoes accounts for the highest proportion. Therefore, how can consumers be able to quickly identify, choose, and what causes purchase intentions among the many competing sports brands, and become the sports brand shoes </w:t>
      </w:r>
      <w:proofErr w:type="gramStart"/>
      <w:r w:rsidRPr="007132C5">
        <w:t>The</w:t>
      </w:r>
      <w:proofErr w:type="gramEnd"/>
      <w:r w:rsidRPr="007132C5">
        <w:t xml:space="preserve"> focus of the class must be paid attention to. The competition in the sports footwear market proposes to use sports items and behavior patterns to explore how to increase market share. The research method is analyzed and discussed through factor analysis, reliability analysis, Pearson correlation analysis, ANOVA, independent sample T test in SPSS. The results of the study found that consumers of both sexes would choose sports footwear suitable for themselves because of sports protection, and consumers would be affected by the group when purchasing sports footwear.</w:t>
      </w:r>
    </w:p>
    <w:p w:rsidR="00F7198D" w:rsidRDefault="0012716A" w:rsidP="00C54B82">
      <w:pPr>
        <w:pStyle w:val="06"/>
      </w:pPr>
      <w:r>
        <w:rPr>
          <w:rFonts w:hint="eastAsia"/>
        </w:rPr>
        <w:t>Keyword</w:t>
      </w:r>
      <w:r w:rsidR="006C1F54" w:rsidRPr="00955AF6">
        <w:rPr>
          <w:rFonts w:hint="eastAsia"/>
        </w:rPr>
        <w:t>：</w:t>
      </w:r>
      <w:r w:rsidR="00285F43">
        <w:t>Brand Image, Perceived Value, Sports Protection,</w:t>
      </w:r>
      <w:r w:rsidR="00285F43" w:rsidRPr="00AF33DD">
        <w:t xml:space="preserve"> Brand Association</w:t>
      </w:r>
      <w:r w:rsidR="00285F43">
        <w:t>, Consumer Purchase Intention</w:t>
      </w:r>
    </w:p>
    <w:p w:rsidR="00285F43" w:rsidRDefault="00285F43" w:rsidP="00CC0E7F">
      <w:pPr>
        <w:pStyle w:val="06"/>
        <w:sectPr w:rsidR="00285F43" w:rsidSect="00A02135">
          <w:pgSz w:w="11906" w:h="16838"/>
          <w:pgMar w:top="1418" w:right="1134" w:bottom="1418" w:left="1134" w:header="851" w:footer="992" w:gutter="0"/>
          <w:cols w:space="425"/>
          <w:docGrid w:type="lines" w:linePitch="360"/>
        </w:sectPr>
      </w:pPr>
    </w:p>
    <w:p w:rsidR="00B66C9C" w:rsidRPr="00C06EA8" w:rsidRDefault="00B66C9C" w:rsidP="00AF33DD">
      <w:pPr>
        <w:pStyle w:val="110"/>
      </w:pPr>
      <w:r w:rsidRPr="00C06EA8">
        <w:rPr>
          <w:rFonts w:hint="eastAsia"/>
        </w:rPr>
        <w:t>前言</w:t>
      </w:r>
    </w:p>
    <w:p w:rsidR="00285F43" w:rsidRPr="00AF33DD" w:rsidRDefault="00285F43" w:rsidP="00AF33DD">
      <w:pPr>
        <w:pStyle w:val="111"/>
      </w:pPr>
      <w:bookmarkStart w:id="0" w:name="_Toc59224592"/>
      <w:r w:rsidRPr="00C06EA8">
        <w:rPr>
          <w:rFonts w:hint="eastAsia"/>
        </w:rPr>
        <w:t>研究背景與動機</w:t>
      </w:r>
      <w:bookmarkEnd w:id="0"/>
      <w:r w:rsidRPr="00C06EA8">
        <w:rPr>
          <w:rFonts w:hint="eastAsia"/>
        </w:rPr>
        <w:t xml:space="preserve"> </w:t>
      </w:r>
    </w:p>
    <w:p w:rsidR="00285F43" w:rsidRPr="00C06EA8" w:rsidRDefault="00285F43" w:rsidP="00AF33DD">
      <w:pPr>
        <w:pStyle w:val="12Text"/>
      </w:pPr>
      <w:r w:rsidRPr="00C06EA8">
        <w:rPr>
          <w:rFonts w:hint="eastAsia"/>
        </w:rPr>
        <w:t>近年來國內運動風氣發展盛行，由其是體育活動、賽事和產業更是帶動了前所未有的運動風潮。像是路跑和健身等眾多的體育活動，而國內體育賽事方面更是有</w:t>
      </w:r>
      <w:r w:rsidRPr="00C06EA8">
        <w:t>HBL</w:t>
      </w:r>
      <w:r w:rsidRPr="00C06EA8">
        <w:rPr>
          <w:rFonts w:hint="eastAsia"/>
        </w:rPr>
        <w:t>、</w:t>
      </w:r>
      <w:r w:rsidRPr="00C06EA8">
        <w:t>UBA</w:t>
      </w:r>
      <w:r w:rsidRPr="00C06EA8">
        <w:rPr>
          <w:rFonts w:hint="eastAsia"/>
        </w:rPr>
        <w:t>、新成立的</w:t>
      </w:r>
      <w:r w:rsidRPr="00C06EA8">
        <w:t>P+ LEAGUE</w:t>
      </w:r>
      <w:r w:rsidRPr="00C06EA8">
        <w:rPr>
          <w:rFonts w:hint="eastAsia"/>
        </w:rPr>
        <w:t>和睽違多年中華職棒第五隊的成立等等，相對的這也會帶動龐大</w:t>
      </w:r>
      <w:r w:rsidRPr="00C06EA8">
        <w:rPr>
          <w:rFonts w:hint="eastAsia"/>
        </w:rPr>
        <w:lastRenderedPageBreak/>
        <w:t>的經濟效益。</w:t>
      </w:r>
      <w:r w:rsidRPr="00AF33DD">
        <w:rPr>
          <w:rFonts w:hint="eastAsia"/>
        </w:rPr>
        <w:t>根據</w:t>
      </w:r>
      <w:r w:rsidRPr="00C06EA8">
        <w:t>SGI</w:t>
      </w:r>
      <w:r w:rsidRPr="00AF33DD">
        <w:rPr>
          <w:rFonts w:hint="eastAsia"/>
        </w:rPr>
        <w:t>統計資料指出，目前全球運動鞋市場規模約</w:t>
      </w:r>
      <w:r w:rsidR="00BA5FCA" w:rsidRPr="00AF33DD">
        <w:rPr>
          <w:rFonts w:hint="eastAsia"/>
        </w:rPr>
        <w:t>1200</w:t>
      </w:r>
      <w:r w:rsidRPr="00AF33DD">
        <w:rPr>
          <w:rFonts w:hint="eastAsia"/>
        </w:rPr>
        <w:t>億美金</w:t>
      </w:r>
      <w:r w:rsidR="00BA5FCA" w:rsidRPr="00AF33DD">
        <w:rPr>
          <w:rFonts w:hint="eastAsia"/>
        </w:rPr>
        <w:t>以上</w:t>
      </w:r>
      <w:r w:rsidRPr="00AF33DD">
        <w:rPr>
          <w:rFonts w:hint="eastAsia"/>
        </w:rPr>
        <w:t>，可見運動鞋市場之大，成長幅度高於整體鞋類市場</w:t>
      </w:r>
      <w:r w:rsidRPr="00AF33DD">
        <w:rPr>
          <w:rFonts w:hint="eastAsia"/>
        </w:rPr>
        <w:t>(</w:t>
      </w:r>
      <w:r w:rsidRPr="00AF33DD">
        <w:rPr>
          <w:rFonts w:hint="eastAsia"/>
        </w:rPr>
        <w:t>中華徵信所</w:t>
      </w:r>
      <w:r w:rsidR="00B13A2A" w:rsidRPr="00AF33DD">
        <w:rPr>
          <w:rFonts w:hint="eastAsia"/>
        </w:rPr>
        <w:t>,2019</w:t>
      </w:r>
      <w:r w:rsidRPr="00AF33DD">
        <w:rPr>
          <w:rFonts w:hint="eastAsia"/>
        </w:rPr>
        <w:t>)</w:t>
      </w:r>
      <w:r w:rsidRPr="00AF33DD">
        <w:t>[</w:t>
      </w:r>
      <w:r w:rsidR="007F0405" w:rsidRPr="00C06EA8">
        <w:fldChar w:fldCharType="begin"/>
      </w:r>
      <w:r w:rsidR="007F0405" w:rsidRPr="00C06EA8">
        <w:instrText xml:space="preserve"> REF _Ref70656485 \r \h </w:instrText>
      </w:r>
      <w:r w:rsidR="00C06EA8" w:rsidRPr="00C06EA8">
        <w:instrText xml:space="preserve"> \* MERGEFORMAT </w:instrText>
      </w:r>
      <w:r w:rsidR="007F0405" w:rsidRPr="00C06EA8">
        <w:fldChar w:fldCharType="separate"/>
      </w:r>
      <w:r w:rsidR="00C22847" w:rsidRPr="00C06EA8">
        <w:t>1</w:t>
      </w:r>
      <w:r w:rsidR="007F0405" w:rsidRPr="00C06EA8">
        <w:fldChar w:fldCharType="end"/>
      </w:r>
      <w:r w:rsidRPr="00C06EA8">
        <w:t>]</w:t>
      </w:r>
      <w:r w:rsidRPr="00C06EA8">
        <w:rPr>
          <w:rFonts w:hint="eastAsia"/>
        </w:rPr>
        <w:t>。</w:t>
      </w:r>
    </w:p>
    <w:p w:rsidR="00285F43" w:rsidRPr="00C06EA8" w:rsidRDefault="00285F43" w:rsidP="00AF33DD">
      <w:pPr>
        <w:pStyle w:val="12Text"/>
      </w:pPr>
      <w:r w:rsidRPr="00C06EA8">
        <w:rPr>
          <w:rFonts w:hint="eastAsia"/>
        </w:rPr>
        <w:t>也因為運動鞋是屬於民生必需品，是人們生活中不可或缺的商品，所以運動鞋市場占了運動消費裡最高的比率。隨著大眾對運動休閒的重視和和體育業的發展，消費者對於運動鞋的需求不再只是滿足物質上的需求，消費者更關注的是在於外在、心靈上以及功能性。</w:t>
      </w:r>
    </w:p>
    <w:p w:rsidR="00285F43" w:rsidRPr="00C06EA8" w:rsidRDefault="00285F43" w:rsidP="00AF33DD">
      <w:pPr>
        <w:pStyle w:val="12Text"/>
      </w:pPr>
      <w:r w:rsidRPr="00C06EA8">
        <w:rPr>
          <w:rFonts w:hint="eastAsia"/>
        </w:rPr>
        <w:t>在這樣的運動熱潮情況之下，運動鞋種類的多樣化，使得市場競爭越來越激烈，各大運動品牌如何利用多元市場區隔及定位或是分眾化的優勢，針對不同運動項目提供出不同的運動鞋，創造出新的契機，就能取得到相當大的優勢。而當消費者還沒有足夠對產品具有一定的知識或經驗時，是很難選擇出適合自己運動項目的運動鞋以及判斷商品品質的好壞。在這樣的狀況之下，品牌形象是企業相當大的重點，當顧客接觸到品牌時，便會透過印象中的品牌形象和概念來決定是否購買某樣產品，尤其功能相似時，難以使消費者客觀的判斷，此時顧客會依照品牌形象的好壞去做選擇，品牌形象越好，代表產品的品質越高</w:t>
      </w:r>
      <w:r w:rsidRPr="00C06EA8">
        <w:rPr>
          <w:rFonts w:hint="eastAsia"/>
        </w:rPr>
        <w:t>(</w:t>
      </w:r>
      <w:r w:rsidRPr="00C06EA8">
        <w:rPr>
          <w:rFonts w:hint="eastAsia"/>
        </w:rPr>
        <w:t>洪順慶</w:t>
      </w:r>
      <w:r w:rsidRPr="00C06EA8">
        <w:rPr>
          <w:rFonts w:hint="eastAsia"/>
        </w:rPr>
        <w:t>,2006)[</w:t>
      </w:r>
      <w:r w:rsidRPr="00C06EA8">
        <w:fldChar w:fldCharType="begin"/>
      </w:r>
      <w:r w:rsidRPr="00C06EA8">
        <w:instrText xml:space="preserve"> </w:instrText>
      </w:r>
      <w:r w:rsidRPr="00C06EA8">
        <w:rPr>
          <w:rFonts w:hint="eastAsia"/>
        </w:rPr>
        <w:instrText>REF _Ref59153130 \r \h</w:instrText>
      </w:r>
      <w:r w:rsidRPr="00C06EA8">
        <w:instrText xml:space="preserve"> </w:instrText>
      </w:r>
      <w:r w:rsidR="00C06EA8" w:rsidRPr="00C06EA8">
        <w:instrText xml:space="preserve"> \* MERGEFORMAT </w:instrText>
      </w:r>
      <w:r w:rsidRPr="00C06EA8">
        <w:fldChar w:fldCharType="separate"/>
      </w:r>
      <w:r w:rsidR="00C22847" w:rsidRPr="00C06EA8">
        <w:t>2</w:t>
      </w:r>
      <w:r w:rsidRPr="00C06EA8">
        <w:fldChar w:fldCharType="end"/>
      </w:r>
      <w:r w:rsidRPr="00AF33DD">
        <w:rPr>
          <w:rFonts w:hint="eastAsia"/>
        </w:rPr>
        <w:t>]</w:t>
      </w:r>
      <w:r w:rsidRPr="00AF33DD">
        <w:rPr>
          <w:rFonts w:hint="eastAsia"/>
        </w:rPr>
        <w:t>。所以消費者會依照品牌形象去做選擇，是因為品牌形象也代表這某特定品牌在市場中的定位，以及消費者如何感受品牌的知覺意涵</w:t>
      </w:r>
      <w:r w:rsidRPr="00AF33DD">
        <w:rPr>
          <w:rFonts w:hint="eastAsia"/>
        </w:rPr>
        <w:t>(</w:t>
      </w:r>
      <w:r w:rsidRPr="00C06EA8">
        <w:t>Nandan</w:t>
      </w:r>
      <w:r w:rsidRPr="00AF33DD">
        <w:rPr>
          <w:rFonts w:hint="eastAsia"/>
        </w:rPr>
        <w:t>,</w:t>
      </w:r>
      <w:r w:rsidRPr="00AF33DD">
        <w:t>2005</w:t>
      </w:r>
      <w:r w:rsidRPr="00AF33DD">
        <w:rPr>
          <w:rFonts w:hint="eastAsia"/>
        </w:rPr>
        <w:t>)</w:t>
      </w:r>
      <w:r w:rsidR="00AF33DD">
        <w:t xml:space="preserve"> </w:t>
      </w:r>
      <w:r w:rsidRPr="00AF33DD">
        <w:rPr>
          <w:rFonts w:hint="eastAsia"/>
        </w:rPr>
        <w:t>[</w:t>
      </w:r>
      <w:r w:rsidRPr="00C06EA8">
        <w:fldChar w:fldCharType="begin"/>
      </w:r>
      <w:r w:rsidRPr="00C06EA8">
        <w:instrText xml:space="preserve"> </w:instrText>
      </w:r>
      <w:r w:rsidRPr="00C06EA8">
        <w:rPr>
          <w:rFonts w:hint="eastAsia"/>
        </w:rPr>
        <w:instrText>REF _Ref59153170 \r \h</w:instrText>
      </w:r>
      <w:r w:rsidRPr="00C06EA8">
        <w:instrText xml:space="preserve"> </w:instrText>
      </w:r>
      <w:r w:rsidR="00C06EA8" w:rsidRPr="00C06EA8">
        <w:instrText xml:space="preserve"> \* MERGEFORMAT </w:instrText>
      </w:r>
      <w:r w:rsidRPr="00C06EA8">
        <w:fldChar w:fldCharType="separate"/>
      </w:r>
      <w:r w:rsidR="00C22847" w:rsidRPr="00C06EA8">
        <w:t>3</w:t>
      </w:r>
      <w:r w:rsidRPr="00C06EA8">
        <w:fldChar w:fldCharType="end"/>
      </w:r>
      <w:r w:rsidRPr="00C06EA8">
        <w:rPr>
          <w:rFonts w:hint="eastAsia"/>
        </w:rPr>
        <w:t>]</w:t>
      </w:r>
      <w:r w:rsidRPr="00C06EA8">
        <w:rPr>
          <w:rFonts w:hint="eastAsia"/>
        </w:rPr>
        <w:t>。</w:t>
      </w:r>
    </w:p>
    <w:p w:rsidR="00B66C9C" w:rsidRPr="00C06EA8" w:rsidRDefault="00285F43" w:rsidP="00AF33DD">
      <w:pPr>
        <w:pStyle w:val="12Text"/>
      </w:pPr>
      <w:r w:rsidRPr="00C06EA8">
        <w:rPr>
          <w:rFonts w:hint="eastAsia"/>
        </w:rPr>
        <w:t>為了讓品牌形象能更良好以及提供更優質的產品服務，企業會試圖利用心理反應去改變消費者購買的動機，此時便會使得企業研發出品質更好的產品，知覺價值與品牌形象之間，將進一步讓消費者強化辨識能力認識商品訊息。品牌和形象做結合，加上產品的知覺價值，讓消費者有購買動機，會讓商品銷售的結果具有相當高的滿意度，還可能讓消費者對品牌擁有良好的忠誠度</w:t>
      </w:r>
      <w:r w:rsidRPr="00C06EA8">
        <w:rPr>
          <w:rFonts w:hint="eastAsia"/>
        </w:rPr>
        <w:t>(Brandt,1998)[</w:t>
      </w:r>
      <w:r w:rsidRPr="00C06EA8">
        <w:fldChar w:fldCharType="begin"/>
      </w:r>
      <w:r w:rsidRPr="00C06EA8">
        <w:instrText xml:space="preserve"> </w:instrText>
      </w:r>
      <w:r w:rsidRPr="00C06EA8">
        <w:rPr>
          <w:rFonts w:hint="eastAsia"/>
        </w:rPr>
        <w:instrText>REF _Ref59153201 \r \h</w:instrText>
      </w:r>
      <w:r w:rsidRPr="00C06EA8">
        <w:instrText xml:space="preserve"> </w:instrText>
      </w:r>
      <w:r w:rsidR="00C06EA8" w:rsidRPr="00C06EA8">
        <w:instrText xml:space="preserve"> \* MERGEFORMAT </w:instrText>
      </w:r>
      <w:r w:rsidRPr="00C06EA8">
        <w:fldChar w:fldCharType="separate"/>
      </w:r>
      <w:r w:rsidR="00C22847" w:rsidRPr="00C06EA8">
        <w:t>4</w:t>
      </w:r>
      <w:r w:rsidRPr="00C06EA8">
        <w:fldChar w:fldCharType="end"/>
      </w:r>
      <w:r w:rsidRPr="00C06EA8">
        <w:rPr>
          <w:rFonts w:hint="eastAsia"/>
        </w:rPr>
        <w:t>]</w:t>
      </w:r>
      <w:r w:rsidRPr="00C06EA8">
        <w:rPr>
          <w:rFonts w:hint="eastAsia"/>
        </w:rPr>
        <w:t>。由此可知，當消費者產生了知覺價值後，就會進一步產生購買意願，代表著企業品牌形象和知覺價值兩者的關係值得加以探討。</w:t>
      </w:r>
    </w:p>
    <w:p w:rsidR="00285F43" w:rsidRPr="00C06EA8" w:rsidRDefault="00720170" w:rsidP="00AF33DD">
      <w:pPr>
        <w:pStyle w:val="12Text"/>
      </w:pPr>
      <w:r w:rsidRPr="00C06EA8">
        <w:rPr>
          <w:rFonts w:hint="eastAsia"/>
        </w:rPr>
        <w:t>根據本研究的背景與目的，</w:t>
      </w:r>
      <w:r w:rsidR="00285F43" w:rsidRPr="00C06EA8">
        <w:rPr>
          <w:rFonts w:hint="eastAsia"/>
        </w:rPr>
        <w:t>本研究目的歸納如下</w:t>
      </w:r>
      <w:r w:rsidR="00285F43" w:rsidRPr="00C06EA8">
        <w:rPr>
          <w:rFonts w:hint="eastAsia"/>
        </w:rPr>
        <w:t>:</w:t>
      </w:r>
    </w:p>
    <w:p w:rsidR="00285F43" w:rsidRPr="00C06EA8" w:rsidRDefault="002A70A0" w:rsidP="00AF33DD">
      <w:pPr>
        <w:pStyle w:val="12Text"/>
      </w:pPr>
      <w:r w:rsidRPr="00C06EA8">
        <w:rPr>
          <w:rFonts w:hint="eastAsia"/>
        </w:rPr>
        <w:t>探討消費者對運動品牌的運動鞋之購買意願</w:t>
      </w:r>
    </w:p>
    <w:p w:rsidR="00285F43" w:rsidRPr="00C06EA8" w:rsidRDefault="002A70A0" w:rsidP="00AF33DD">
      <w:pPr>
        <w:pStyle w:val="12Text"/>
      </w:pPr>
      <w:r w:rsidRPr="00C06EA8">
        <w:rPr>
          <w:rFonts w:hint="eastAsia"/>
        </w:rPr>
        <w:t>探討運動鞋類的知覺價值對購買意願之關係</w:t>
      </w:r>
    </w:p>
    <w:p w:rsidR="00285F43" w:rsidRPr="00C06EA8" w:rsidRDefault="002A70A0" w:rsidP="00AF33DD">
      <w:pPr>
        <w:pStyle w:val="12Text"/>
      </w:pPr>
      <w:r w:rsidRPr="00C06EA8">
        <w:rPr>
          <w:rFonts w:hint="eastAsia"/>
        </w:rPr>
        <w:t>探討運動鞋類的品牌形象對購買意願之關係</w:t>
      </w:r>
    </w:p>
    <w:p w:rsidR="00285F43" w:rsidRPr="00C06EA8" w:rsidRDefault="002A70A0" w:rsidP="00AF33DD">
      <w:pPr>
        <w:pStyle w:val="12Text"/>
      </w:pPr>
      <w:r w:rsidRPr="00C06EA8">
        <w:rPr>
          <w:rFonts w:hint="eastAsia"/>
        </w:rPr>
        <w:t>探討運動項目與運動品牌的運動鞋類之關係</w:t>
      </w:r>
    </w:p>
    <w:p w:rsidR="00720170" w:rsidRPr="00AF33DD" w:rsidRDefault="00B66C9C" w:rsidP="00AF33DD">
      <w:pPr>
        <w:pStyle w:val="110"/>
      </w:pPr>
      <w:r w:rsidRPr="00C06EA8">
        <w:rPr>
          <w:rFonts w:hint="eastAsia"/>
        </w:rPr>
        <w:t>理論</w:t>
      </w:r>
    </w:p>
    <w:p w:rsidR="00720170" w:rsidRPr="00AF33DD" w:rsidRDefault="00720170" w:rsidP="00AF33DD">
      <w:pPr>
        <w:pStyle w:val="111"/>
      </w:pPr>
      <w:r w:rsidRPr="00C06EA8">
        <w:rPr>
          <w:rFonts w:hint="eastAsia"/>
        </w:rPr>
        <w:t>運動鞋類定義</w:t>
      </w:r>
    </w:p>
    <w:p w:rsidR="005F1E46" w:rsidRPr="00C06EA8" w:rsidRDefault="00E0001B" w:rsidP="00AF33DD">
      <w:pPr>
        <w:pStyle w:val="12Text"/>
      </w:pPr>
      <w:r w:rsidRPr="00C06EA8">
        <w:rPr>
          <w:rFonts w:hint="eastAsia"/>
        </w:rPr>
        <w:t>不同種類的運動特點</w:t>
      </w:r>
      <w:r w:rsidRPr="00C06EA8">
        <w:rPr>
          <w:rFonts w:hint="eastAsia"/>
          <w:lang w:eastAsia="zh-TW"/>
        </w:rPr>
        <w:t>會不</w:t>
      </w:r>
      <w:r w:rsidR="00720170" w:rsidRPr="00C06EA8">
        <w:rPr>
          <w:rFonts w:hint="eastAsia"/>
        </w:rPr>
        <w:t>相同，需要不同的鞋子去提供保護和功能，自然會依照不一樣的運動項目去設計，所以市場上會區分出針對不同運動而設計的運動鞋</w:t>
      </w:r>
      <w:r w:rsidR="00963909" w:rsidRPr="00C06EA8">
        <w:rPr>
          <w:rFonts w:hint="eastAsia"/>
          <w:lang w:eastAsia="zh-TW"/>
        </w:rPr>
        <w:t>。</w:t>
      </w:r>
    </w:p>
    <w:p w:rsidR="00B66C9C" w:rsidRPr="00AF33DD" w:rsidRDefault="005F1E46" w:rsidP="00AF33DD">
      <w:pPr>
        <w:pStyle w:val="111"/>
      </w:pPr>
      <w:r w:rsidRPr="00C06EA8">
        <w:rPr>
          <w:rFonts w:hint="eastAsia"/>
        </w:rPr>
        <w:t>運動鞋類的市場概況</w:t>
      </w:r>
    </w:p>
    <w:p w:rsidR="005F1E46" w:rsidRPr="00C06EA8" w:rsidRDefault="005F1E46" w:rsidP="00AF33DD">
      <w:pPr>
        <w:pStyle w:val="12Text"/>
      </w:pPr>
      <w:r w:rsidRPr="00AF33DD">
        <w:rPr>
          <w:rFonts w:hint="eastAsia"/>
        </w:rPr>
        <w:t>運動鞋在運動市場中占很大的一部分，尤其近年來運動鞋類更是專業化和完善。加上融入了流行、時尚、新科技等多種元素，使得運動鞋類的市場的發展逐年創新高。根據</w:t>
      </w:r>
      <w:r w:rsidRPr="00C06EA8">
        <w:t>Statistic</w:t>
      </w:r>
      <w:r w:rsidRPr="00AF33DD">
        <w:rPr>
          <w:rFonts w:hint="eastAsia"/>
        </w:rPr>
        <w:t>數據，</w:t>
      </w:r>
      <w:r w:rsidRPr="00AF33DD">
        <w:rPr>
          <w:rFonts w:hint="eastAsia"/>
        </w:rPr>
        <w:t>2016</w:t>
      </w:r>
      <w:r w:rsidRPr="00AF33DD">
        <w:rPr>
          <w:rFonts w:hint="eastAsia"/>
        </w:rPr>
        <w:t>年，全球運動鞋市場規模已達到</w:t>
      </w:r>
      <w:r w:rsidRPr="00AF33DD">
        <w:rPr>
          <w:rFonts w:hint="eastAsia"/>
        </w:rPr>
        <w:t>1126.38</w:t>
      </w:r>
      <w:r w:rsidRPr="00AF33DD">
        <w:rPr>
          <w:rFonts w:hint="eastAsia"/>
        </w:rPr>
        <w:t>億美元，同比增長</w:t>
      </w:r>
      <w:r w:rsidRPr="00AF33DD">
        <w:rPr>
          <w:rFonts w:hint="eastAsia"/>
        </w:rPr>
        <w:t>12.88%</w:t>
      </w:r>
      <w:r w:rsidRPr="00AF33DD">
        <w:rPr>
          <w:rFonts w:hint="eastAsia"/>
        </w:rPr>
        <w:t>，遠高於同期運動鞋市場；</w:t>
      </w:r>
      <w:r w:rsidRPr="00AF33DD">
        <w:rPr>
          <w:rFonts w:hint="eastAsia"/>
        </w:rPr>
        <w:t>2018</w:t>
      </w:r>
      <w:r w:rsidRPr="00AF33DD">
        <w:rPr>
          <w:rFonts w:hint="eastAsia"/>
        </w:rPr>
        <w:t>年預計在</w:t>
      </w:r>
      <w:r w:rsidRPr="00AF33DD">
        <w:rPr>
          <w:rFonts w:hint="eastAsia"/>
        </w:rPr>
        <w:t>1213</w:t>
      </w:r>
      <w:r w:rsidRPr="00AF33DD">
        <w:rPr>
          <w:rFonts w:hint="eastAsia"/>
        </w:rPr>
        <w:t>億美元左右</w:t>
      </w:r>
      <w:r w:rsidRPr="00AF33DD">
        <w:rPr>
          <w:rFonts w:hint="eastAsia"/>
        </w:rPr>
        <w:t>(</w:t>
      </w:r>
      <w:r w:rsidRPr="00AF33DD">
        <w:rPr>
          <w:rFonts w:hint="eastAsia"/>
        </w:rPr>
        <w:t>前瞻產業研究院</w:t>
      </w:r>
      <w:r w:rsidR="007F0405" w:rsidRPr="00AF33DD">
        <w:rPr>
          <w:rFonts w:hint="eastAsia"/>
        </w:rPr>
        <w:t>,2019)[</w:t>
      </w:r>
      <w:r w:rsidR="007F0405" w:rsidRPr="00C06EA8">
        <w:fldChar w:fldCharType="begin"/>
      </w:r>
      <w:r w:rsidR="007F0405" w:rsidRPr="00C06EA8">
        <w:instrText xml:space="preserve"> </w:instrText>
      </w:r>
      <w:r w:rsidR="007F0405" w:rsidRPr="00C06EA8">
        <w:rPr>
          <w:rFonts w:hint="eastAsia"/>
        </w:rPr>
        <w:instrText>REF _Ref59153927 \r \h</w:instrText>
      </w:r>
      <w:r w:rsidR="007F0405" w:rsidRPr="00C06EA8">
        <w:instrText xml:space="preserve"> </w:instrText>
      </w:r>
      <w:r w:rsidR="00C06EA8" w:rsidRPr="00C06EA8">
        <w:instrText xml:space="preserve"> \* MERGEFORMAT </w:instrText>
      </w:r>
      <w:r w:rsidR="007F0405" w:rsidRPr="00C06EA8">
        <w:fldChar w:fldCharType="separate"/>
      </w:r>
      <w:r w:rsidR="00C22847" w:rsidRPr="00C06EA8">
        <w:t>5</w:t>
      </w:r>
      <w:r w:rsidR="007F0405" w:rsidRPr="00C06EA8">
        <w:fldChar w:fldCharType="end"/>
      </w:r>
      <w:r w:rsidRPr="00C06EA8">
        <w:rPr>
          <w:rFonts w:hint="eastAsia"/>
        </w:rPr>
        <w:t>]</w:t>
      </w:r>
      <w:r w:rsidRPr="00C06EA8">
        <w:rPr>
          <w:rFonts w:hint="eastAsia"/>
        </w:rPr>
        <w:t>。</w:t>
      </w:r>
    </w:p>
    <w:p w:rsidR="005F1E46" w:rsidRPr="00AF33DD" w:rsidRDefault="00976502" w:rsidP="00AF33DD">
      <w:pPr>
        <w:pStyle w:val="12Text"/>
      </w:pPr>
      <w:r w:rsidRPr="00C06EA8">
        <w:rPr>
          <w:noProof/>
          <w:lang w:eastAsia="zh-TW"/>
        </w:rPr>
        <w:drawing>
          <wp:inline distT="0" distB="0" distL="0" distR="0" wp14:anchorId="2FA14C3C" wp14:editId="59F65643">
            <wp:extent cx="2980055" cy="2362835"/>
            <wp:effectExtent l="0" t="0" r="0" b="0"/>
            <wp:docPr id="1"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980055" cy="2362835"/>
                    </a:xfrm>
                    <a:prstGeom prst="rect">
                      <a:avLst/>
                    </a:prstGeom>
                    <a:noFill/>
                  </pic:spPr>
                </pic:pic>
              </a:graphicData>
            </a:graphic>
          </wp:inline>
        </w:drawing>
      </w:r>
      <w:r w:rsidR="005F1E46" w:rsidRPr="00C06EA8">
        <w:rPr>
          <w:rFonts w:hint="eastAsia"/>
        </w:rPr>
        <w:t>資料來源：</w:t>
      </w:r>
      <w:r w:rsidR="005F1E46" w:rsidRPr="00C06EA8">
        <w:t>Statistic</w:t>
      </w:r>
      <w:r w:rsidR="005F1E46" w:rsidRPr="00AF33DD">
        <w:rPr>
          <w:rFonts w:hint="eastAsia"/>
        </w:rPr>
        <w:t>前瞻產業研究院</w:t>
      </w:r>
    </w:p>
    <w:p w:rsidR="005F1E46" w:rsidRPr="00AF33DD" w:rsidRDefault="007F0405" w:rsidP="00AF33DD">
      <w:pPr>
        <w:pStyle w:val="08"/>
      </w:pPr>
      <w:bookmarkStart w:id="1" w:name="_Ref70659356"/>
      <w:bookmarkStart w:id="2" w:name="_Ref70656758"/>
      <w:r w:rsidRPr="00AF33DD">
        <w:rPr>
          <w:rFonts w:hint="eastAsia"/>
        </w:rPr>
        <w:t>圖</w:t>
      </w:r>
      <w:r w:rsidRPr="00AF33DD">
        <w:fldChar w:fldCharType="begin"/>
      </w:r>
      <w:r w:rsidRPr="00AF33DD">
        <w:instrText xml:space="preserve"> </w:instrText>
      </w:r>
      <w:r w:rsidRPr="00AF33DD">
        <w:rPr>
          <w:rFonts w:hint="eastAsia"/>
        </w:rPr>
        <w:instrText xml:space="preserve">SEQ </w:instrText>
      </w:r>
      <w:r w:rsidRPr="00AF33DD">
        <w:rPr>
          <w:rFonts w:hint="eastAsia"/>
        </w:rPr>
        <w:instrText>圖</w:instrText>
      </w:r>
      <w:r w:rsidRPr="00AF33DD">
        <w:rPr>
          <w:rFonts w:hint="eastAsia"/>
        </w:rPr>
        <w:instrText xml:space="preserve"> \* ARABIC</w:instrText>
      </w:r>
      <w:r w:rsidRPr="00AF33DD">
        <w:instrText xml:space="preserve"> </w:instrText>
      </w:r>
      <w:r w:rsidRPr="00AF33DD">
        <w:fldChar w:fldCharType="separate"/>
      </w:r>
      <w:r w:rsidR="00C22847" w:rsidRPr="00AF33DD">
        <w:t>1</w:t>
      </w:r>
      <w:r w:rsidRPr="00AF33DD">
        <w:fldChar w:fldCharType="end"/>
      </w:r>
      <w:bookmarkEnd w:id="1"/>
      <w:r w:rsidR="00AF33DD" w:rsidRPr="00AF33DD">
        <w:t>.</w:t>
      </w:r>
      <w:r w:rsidRPr="00AF33DD">
        <w:t xml:space="preserve"> </w:t>
      </w:r>
      <w:r w:rsidR="005F1E46" w:rsidRPr="00AF33DD">
        <w:rPr>
          <w:rFonts w:hint="eastAsia"/>
        </w:rPr>
        <w:t>2010~18</w:t>
      </w:r>
      <w:r w:rsidR="005F1E46" w:rsidRPr="00AF33DD">
        <w:rPr>
          <w:rFonts w:hint="eastAsia"/>
        </w:rPr>
        <w:t>運動鞋類全球市場規模與成長</w:t>
      </w:r>
      <w:r w:rsidR="005F1E46" w:rsidRPr="00AF33DD">
        <w:rPr>
          <w:rFonts w:hint="eastAsia"/>
        </w:rPr>
        <w:t>(</w:t>
      </w:r>
      <w:r w:rsidR="005F1E46" w:rsidRPr="00AF33DD">
        <w:rPr>
          <w:rFonts w:hint="eastAsia"/>
        </w:rPr>
        <w:t>單位</w:t>
      </w:r>
      <w:r w:rsidR="005F1E46" w:rsidRPr="00AF33DD">
        <w:rPr>
          <w:rFonts w:hint="eastAsia"/>
        </w:rPr>
        <w:t>:</w:t>
      </w:r>
      <w:r w:rsidR="005F1E46" w:rsidRPr="00AF33DD">
        <w:rPr>
          <w:rFonts w:hint="eastAsia"/>
        </w:rPr>
        <w:t>億美元</w:t>
      </w:r>
      <w:r w:rsidR="005F1E46" w:rsidRPr="00AF33DD">
        <w:rPr>
          <w:rFonts w:hint="eastAsia"/>
        </w:rPr>
        <w:t>)</w:t>
      </w:r>
      <w:bookmarkEnd w:id="2"/>
    </w:p>
    <w:p w:rsidR="0098356E" w:rsidRPr="00AF33DD" w:rsidRDefault="00C22AA1" w:rsidP="0098356E">
      <w:pPr>
        <w:pStyle w:val="12Text"/>
      </w:pPr>
      <w:r w:rsidRPr="00AF33DD">
        <w:rPr>
          <w:rFonts w:hint="eastAsia"/>
        </w:rPr>
        <w:t>由</w:t>
      </w:r>
      <w:r w:rsidRPr="00C06EA8">
        <w:rPr>
          <w:rFonts w:ascii="新細明體" w:hAnsi="新細明體"/>
          <w:szCs w:val="20"/>
          <w:lang w:eastAsia="zh-TW"/>
        </w:rPr>
        <w:fldChar w:fldCharType="begin"/>
      </w:r>
      <w:r w:rsidRPr="00C06EA8">
        <w:rPr>
          <w:rFonts w:ascii="新細明體" w:hAnsi="新細明體"/>
          <w:szCs w:val="20"/>
          <w:lang w:eastAsia="zh-TW"/>
        </w:rPr>
        <w:instrText xml:space="preserve"> </w:instrText>
      </w:r>
      <w:r w:rsidRPr="00C06EA8">
        <w:rPr>
          <w:rFonts w:ascii="新細明體" w:hAnsi="新細明體" w:hint="eastAsia"/>
          <w:szCs w:val="20"/>
          <w:lang w:eastAsia="zh-TW"/>
        </w:rPr>
        <w:instrText>REF _Ref70659356 \h</w:instrText>
      </w:r>
      <w:r w:rsidRPr="00C06EA8">
        <w:rPr>
          <w:rFonts w:ascii="新細明體" w:hAnsi="新細明體"/>
          <w:szCs w:val="20"/>
          <w:lang w:eastAsia="zh-TW"/>
        </w:rPr>
        <w:instrText xml:space="preserve"> </w:instrText>
      </w:r>
      <w:r w:rsidR="00C06EA8" w:rsidRPr="00C06EA8">
        <w:rPr>
          <w:rFonts w:ascii="新細明體" w:hAnsi="新細明體"/>
          <w:szCs w:val="20"/>
          <w:lang w:eastAsia="zh-TW"/>
        </w:rPr>
        <w:instrText xml:space="preserve"> \* MERGEFORMAT </w:instrText>
      </w:r>
      <w:r w:rsidRPr="00C06EA8">
        <w:rPr>
          <w:rFonts w:ascii="新細明體" w:hAnsi="新細明體"/>
          <w:szCs w:val="20"/>
          <w:lang w:eastAsia="zh-TW"/>
        </w:rPr>
      </w:r>
      <w:r w:rsidRPr="00C06EA8">
        <w:rPr>
          <w:rFonts w:ascii="新細明體" w:hAnsi="新細明體"/>
          <w:szCs w:val="20"/>
          <w:lang w:eastAsia="zh-TW"/>
        </w:rPr>
        <w:fldChar w:fldCharType="separate"/>
      </w:r>
      <w:r w:rsidR="00C22847" w:rsidRPr="00C06EA8">
        <w:rPr>
          <w:rFonts w:ascii="新細明體" w:hAnsi="新細明體" w:hint="eastAsia"/>
          <w:szCs w:val="20"/>
        </w:rPr>
        <w:t>圖</w:t>
      </w:r>
      <w:r w:rsidR="00C22847" w:rsidRPr="00C06EA8">
        <w:rPr>
          <w:rFonts w:ascii="新細明體" w:hAnsi="新細明體"/>
          <w:noProof/>
          <w:szCs w:val="20"/>
        </w:rPr>
        <w:t>1</w:t>
      </w:r>
      <w:r w:rsidRPr="00C06EA8">
        <w:rPr>
          <w:rFonts w:ascii="新細明體" w:hAnsi="新細明體"/>
          <w:szCs w:val="20"/>
          <w:lang w:eastAsia="zh-TW"/>
        </w:rPr>
        <w:fldChar w:fldCharType="end"/>
      </w:r>
      <w:r w:rsidR="0098356E" w:rsidRPr="00AF33DD">
        <w:rPr>
          <w:rFonts w:hint="eastAsia"/>
        </w:rPr>
        <w:t>所示，</w:t>
      </w:r>
      <w:proofErr w:type="spellStart"/>
      <w:r w:rsidR="0098356E" w:rsidRPr="00C06EA8">
        <w:rPr>
          <w:szCs w:val="20"/>
        </w:rPr>
        <w:t>Technavio</w:t>
      </w:r>
      <w:proofErr w:type="spellEnd"/>
      <w:r w:rsidR="0098356E" w:rsidRPr="00AF33DD">
        <w:rPr>
          <w:rFonts w:hint="eastAsia"/>
        </w:rPr>
        <w:t>分析師預估，全球運動鞋類市場到達</w:t>
      </w:r>
      <w:r w:rsidR="0098356E" w:rsidRPr="00AF33DD">
        <w:rPr>
          <w:rFonts w:hint="eastAsia"/>
        </w:rPr>
        <w:t>2021</w:t>
      </w:r>
      <w:r w:rsidR="0098356E" w:rsidRPr="00AF33DD">
        <w:rPr>
          <w:rFonts w:hint="eastAsia"/>
        </w:rPr>
        <w:t>年時，預估會創下</w:t>
      </w:r>
      <w:r w:rsidR="0098356E" w:rsidRPr="00AF33DD">
        <w:rPr>
          <w:rFonts w:hint="eastAsia"/>
        </w:rPr>
        <w:t>107</w:t>
      </w:r>
      <w:r w:rsidR="0098356E" w:rsidRPr="00AF33DD">
        <w:rPr>
          <w:rFonts w:hint="eastAsia"/>
        </w:rPr>
        <w:t>億美元，並且會呈穩定增長。整體鞋類市場中，鞋類產業呈穩定成長，運動鞋市場約占</w:t>
      </w:r>
      <w:r w:rsidR="0098356E" w:rsidRPr="00AF33DD">
        <w:rPr>
          <w:rFonts w:hint="eastAsia"/>
        </w:rPr>
        <w:t xml:space="preserve"> 25%</w:t>
      </w:r>
      <w:r w:rsidR="0098356E" w:rsidRPr="00AF33DD">
        <w:rPr>
          <w:rFonts w:hint="eastAsia"/>
        </w:rPr>
        <w:t>，依據市調機構</w:t>
      </w:r>
      <w:r w:rsidR="0098356E" w:rsidRPr="00AF33DD">
        <w:rPr>
          <w:rFonts w:hint="eastAsia"/>
        </w:rPr>
        <w:t xml:space="preserve"> </w:t>
      </w:r>
      <w:r w:rsidR="0098356E" w:rsidRPr="00C06EA8">
        <w:rPr>
          <w:szCs w:val="20"/>
        </w:rPr>
        <w:t>Global Industry Analysts</w:t>
      </w:r>
      <w:r w:rsidR="0098356E" w:rsidRPr="00AF33DD">
        <w:rPr>
          <w:rFonts w:hint="eastAsia"/>
        </w:rPr>
        <w:t>的統計分析顯示，近年來全球鞋類產業成長率為</w:t>
      </w:r>
      <w:r w:rsidR="0098356E" w:rsidRPr="00AF33DD">
        <w:rPr>
          <w:rFonts w:hint="eastAsia"/>
        </w:rPr>
        <w:t>2.7%</w:t>
      </w:r>
      <w:r w:rsidR="0098356E" w:rsidRPr="00AF33DD">
        <w:rPr>
          <w:rFonts w:hint="eastAsia"/>
        </w:rPr>
        <w:t>，運動鞋類產業成長率為</w:t>
      </w:r>
      <w:r w:rsidR="0098356E" w:rsidRPr="00AF33DD">
        <w:rPr>
          <w:rFonts w:hint="eastAsia"/>
        </w:rPr>
        <w:t>5%</w:t>
      </w:r>
      <w:r w:rsidR="0098356E" w:rsidRPr="00AF33DD">
        <w:rPr>
          <w:rFonts w:hint="eastAsia"/>
        </w:rPr>
        <w:t>，可以發現運動鞋類的成長率甚至超越全球鞋類產業。台灣也隨著生活品質和水準上升、健康意識的提倡和體育活動的熱潮，運動鞋類的市場規模在</w:t>
      </w:r>
      <w:r w:rsidR="0098356E" w:rsidRPr="00AF33DD">
        <w:rPr>
          <w:rFonts w:hint="eastAsia"/>
        </w:rPr>
        <w:t>2017</w:t>
      </w:r>
      <w:r w:rsidR="0098356E" w:rsidRPr="00AF33DD">
        <w:rPr>
          <w:rFonts w:hint="eastAsia"/>
        </w:rPr>
        <w:t>年也突破了千億元。由此可知，運動鞋類的消費市場成長空間極高，在運動消費市場中具有相當大的潛力。</w:t>
      </w:r>
    </w:p>
    <w:p w:rsidR="0098356E" w:rsidRPr="00AF33DD" w:rsidRDefault="0098356E" w:rsidP="00AF33DD">
      <w:pPr>
        <w:pStyle w:val="111"/>
      </w:pPr>
      <w:r w:rsidRPr="00C06EA8">
        <w:rPr>
          <w:rFonts w:hint="eastAsia"/>
        </w:rPr>
        <w:lastRenderedPageBreak/>
        <w:t>品牌形象</w:t>
      </w:r>
    </w:p>
    <w:p w:rsidR="0098356E" w:rsidRPr="00C06EA8" w:rsidRDefault="0098356E" w:rsidP="00AF33DD">
      <w:pPr>
        <w:pStyle w:val="12Text"/>
      </w:pPr>
      <w:proofErr w:type="spellStart"/>
      <w:r w:rsidRPr="00C06EA8">
        <w:rPr>
          <w:szCs w:val="20"/>
        </w:rPr>
        <w:t>Par</w:t>
      </w:r>
      <w:r w:rsidR="007F0405" w:rsidRPr="00C06EA8">
        <w:rPr>
          <w:szCs w:val="20"/>
        </w:rPr>
        <w:t>k,Jaworski</w:t>
      </w:r>
      <w:proofErr w:type="spellEnd"/>
      <w:r w:rsidR="007F0405" w:rsidRPr="00C06EA8">
        <w:rPr>
          <w:szCs w:val="20"/>
        </w:rPr>
        <w:t xml:space="preserve"> and </w:t>
      </w:r>
      <w:proofErr w:type="spellStart"/>
      <w:r w:rsidR="007F0405" w:rsidRPr="00C06EA8">
        <w:rPr>
          <w:szCs w:val="20"/>
        </w:rPr>
        <w:t>MacInnis</w:t>
      </w:r>
      <w:proofErr w:type="spellEnd"/>
      <w:r w:rsidR="007F0405" w:rsidRPr="00AF33DD">
        <w:rPr>
          <w:rFonts w:hint="eastAsia"/>
        </w:rPr>
        <w:t>(1986)[</w:t>
      </w:r>
      <w:r w:rsidR="007F0405" w:rsidRPr="00C06EA8">
        <w:rPr>
          <w:rFonts w:ascii="新細明體" w:hAnsi="新細明體"/>
          <w:szCs w:val="20"/>
        </w:rPr>
        <w:fldChar w:fldCharType="begin"/>
      </w:r>
      <w:r w:rsidR="007F0405" w:rsidRPr="00C06EA8">
        <w:rPr>
          <w:rFonts w:ascii="新細明體" w:hAnsi="新細明體"/>
          <w:szCs w:val="20"/>
        </w:rPr>
        <w:instrText xml:space="preserve"> </w:instrText>
      </w:r>
      <w:r w:rsidR="007F0405" w:rsidRPr="00C06EA8">
        <w:rPr>
          <w:rFonts w:ascii="新細明體" w:hAnsi="新細明體" w:hint="eastAsia"/>
          <w:szCs w:val="20"/>
        </w:rPr>
        <w:instrText>REF _Ref70656889 \r \h</w:instrText>
      </w:r>
      <w:r w:rsidR="007F0405" w:rsidRPr="00C06EA8">
        <w:rPr>
          <w:rFonts w:ascii="新細明體" w:hAnsi="新細明體"/>
          <w:szCs w:val="20"/>
        </w:rPr>
        <w:instrText xml:space="preserve"> </w:instrText>
      </w:r>
      <w:r w:rsidR="00C06EA8" w:rsidRPr="00C06EA8">
        <w:rPr>
          <w:rFonts w:ascii="新細明體" w:hAnsi="新細明體"/>
          <w:szCs w:val="20"/>
        </w:rPr>
        <w:instrText xml:space="preserve"> \* MERGEFORMAT </w:instrText>
      </w:r>
      <w:r w:rsidR="007F0405" w:rsidRPr="00C06EA8">
        <w:rPr>
          <w:rFonts w:ascii="新細明體" w:hAnsi="新細明體"/>
          <w:szCs w:val="20"/>
        </w:rPr>
      </w:r>
      <w:r w:rsidR="007F0405" w:rsidRPr="00C06EA8">
        <w:rPr>
          <w:rFonts w:ascii="新細明體" w:hAnsi="新細明體"/>
          <w:szCs w:val="20"/>
        </w:rPr>
        <w:fldChar w:fldCharType="separate"/>
      </w:r>
      <w:r w:rsidR="00C22847" w:rsidRPr="00C06EA8">
        <w:rPr>
          <w:rFonts w:ascii="新細明體" w:hAnsi="新細明體"/>
          <w:szCs w:val="20"/>
        </w:rPr>
        <w:t>6</w:t>
      </w:r>
      <w:r w:rsidR="007F0405" w:rsidRPr="00C06EA8">
        <w:rPr>
          <w:rFonts w:ascii="新細明體" w:hAnsi="新細明體"/>
          <w:szCs w:val="20"/>
        </w:rPr>
        <w:fldChar w:fldCharType="end"/>
      </w:r>
      <w:r w:rsidRPr="00AF33DD">
        <w:rPr>
          <w:rFonts w:hint="eastAsia"/>
        </w:rPr>
        <w:t>]</w:t>
      </w:r>
      <w:r w:rsidRPr="00AF33DD">
        <w:rPr>
          <w:rFonts w:hint="eastAsia"/>
        </w:rPr>
        <w:t>認為品牌形象除了是根據由企業所舉辦的活動所產生的知覺影響外，消費者也可以透過和品牌相關聯的活動的方式去進一步了解；</w:t>
      </w:r>
      <w:r w:rsidRPr="00AF33DD">
        <w:rPr>
          <w:rFonts w:hint="eastAsia"/>
        </w:rPr>
        <w:t>Park</w:t>
      </w:r>
      <w:r w:rsidRPr="00AF33DD">
        <w:rPr>
          <w:rFonts w:hint="eastAsia"/>
        </w:rPr>
        <w:t>認為品牌形象是透過行銷所創造出來的知覺，所以任何的產品品牌都可以適用於以下三種理論分別為功能性、象徵性和經驗性形象。彭建彰與呂旺坤</w:t>
      </w:r>
      <w:r w:rsidR="007F0405" w:rsidRPr="00AF33DD">
        <w:rPr>
          <w:rFonts w:hint="eastAsia"/>
        </w:rPr>
        <w:t>(2005)[</w:t>
      </w:r>
      <w:r w:rsidR="007F0405" w:rsidRPr="00C06EA8">
        <w:rPr>
          <w:rFonts w:ascii="新細明體" w:hAnsi="新細明體"/>
          <w:szCs w:val="20"/>
        </w:rPr>
        <w:fldChar w:fldCharType="begin"/>
      </w:r>
      <w:r w:rsidR="007F0405" w:rsidRPr="00C06EA8">
        <w:rPr>
          <w:rFonts w:ascii="新細明體" w:hAnsi="新細明體"/>
          <w:szCs w:val="20"/>
        </w:rPr>
        <w:instrText xml:space="preserve"> </w:instrText>
      </w:r>
      <w:r w:rsidR="007F0405" w:rsidRPr="00C06EA8">
        <w:rPr>
          <w:rFonts w:ascii="新細明體" w:hAnsi="新細明體" w:hint="eastAsia"/>
          <w:szCs w:val="20"/>
        </w:rPr>
        <w:instrText>REF _Ref70657084 \r \h</w:instrText>
      </w:r>
      <w:r w:rsidR="007F0405" w:rsidRPr="00C06EA8">
        <w:rPr>
          <w:rFonts w:ascii="新細明體" w:hAnsi="新細明體"/>
          <w:szCs w:val="20"/>
        </w:rPr>
        <w:instrText xml:space="preserve"> </w:instrText>
      </w:r>
      <w:r w:rsidR="00C06EA8" w:rsidRPr="00C06EA8">
        <w:rPr>
          <w:rFonts w:ascii="新細明體" w:hAnsi="新細明體"/>
          <w:szCs w:val="20"/>
        </w:rPr>
        <w:instrText xml:space="preserve"> \* MERGEFORMAT </w:instrText>
      </w:r>
      <w:r w:rsidR="007F0405" w:rsidRPr="00C06EA8">
        <w:rPr>
          <w:rFonts w:ascii="新細明體" w:hAnsi="新細明體"/>
          <w:szCs w:val="20"/>
        </w:rPr>
      </w:r>
      <w:r w:rsidR="007F0405" w:rsidRPr="00C06EA8">
        <w:rPr>
          <w:rFonts w:ascii="新細明體" w:hAnsi="新細明體"/>
          <w:szCs w:val="20"/>
        </w:rPr>
        <w:fldChar w:fldCharType="separate"/>
      </w:r>
      <w:r w:rsidR="00C22847" w:rsidRPr="00C06EA8">
        <w:rPr>
          <w:rFonts w:ascii="新細明體" w:hAnsi="新細明體"/>
          <w:szCs w:val="20"/>
        </w:rPr>
        <w:t>7</w:t>
      </w:r>
      <w:r w:rsidR="007F0405" w:rsidRPr="00C06EA8">
        <w:rPr>
          <w:rFonts w:ascii="新細明體" w:hAnsi="新細明體"/>
          <w:szCs w:val="20"/>
        </w:rPr>
        <w:fldChar w:fldCharType="end"/>
      </w:r>
      <w:r w:rsidRPr="00AF33DD">
        <w:rPr>
          <w:rFonts w:hint="eastAsia"/>
        </w:rPr>
        <w:t>]</w:t>
      </w:r>
      <w:r w:rsidRPr="00AF33DD">
        <w:rPr>
          <w:rFonts w:hint="eastAsia"/>
        </w:rPr>
        <w:t>也認為品牌形象是銷售手法所創造的，其中不乏包含了風格、成就、品味、地位等因素所形成的商品或服務品質。</w:t>
      </w:r>
      <w:proofErr w:type="spellStart"/>
      <w:r w:rsidR="007F0405" w:rsidRPr="00C06EA8">
        <w:t>Kirmani</w:t>
      </w:r>
      <w:proofErr w:type="spellEnd"/>
      <w:r w:rsidR="007F0405" w:rsidRPr="00C06EA8">
        <w:t xml:space="preserve"> and </w:t>
      </w:r>
      <w:proofErr w:type="spellStart"/>
      <w:r w:rsidR="007F0405" w:rsidRPr="00C06EA8">
        <w:t>Zeithmal</w:t>
      </w:r>
      <w:proofErr w:type="spellEnd"/>
      <w:r w:rsidR="00AF33DD">
        <w:t xml:space="preserve"> </w:t>
      </w:r>
      <w:r w:rsidR="007F0405" w:rsidRPr="00AF33DD">
        <w:rPr>
          <w:rFonts w:hint="eastAsia"/>
        </w:rPr>
        <w:t>(1993)</w:t>
      </w:r>
      <w:r w:rsidR="00AF33DD">
        <w:t xml:space="preserve"> </w:t>
      </w:r>
      <w:r w:rsidR="007F0405" w:rsidRPr="00AF33DD">
        <w:rPr>
          <w:rFonts w:hint="eastAsia"/>
        </w:rPr>
        <w:t>[</w:t>
      </w:r>
      <w:r w:rsidR="007F0405" w:rsidRPr="00C06EA8">
        <w:fldChar w:fldCharType="begin"/>
      </w:r>
      <w:r w:rsidR="007F0405" w:rsidRPr="00C06EA8">
        <w:instrText xml:space="preserve"> </w:instrText>
      </w:r>
      <w:r w:rsidR="007F0405" w:rsidRPr="00C06EA8">
        <w:rPr>
          <w:rFonts w:hint="eastAsia"/>
        </w:rPr>
        <w:instrText>REF _Ref70657092 \r \h</w:instrText>
      </w:r>
      <w:r w:rsidR="007F0405" w:rsidRPr="00C06EA8">
        <w:instrText xml:space="preserve"> </w:instrText>
      </w:r>
      <w:r w:rsidR="00C06EA8" w:rsidRPr="00C06EA8">
        <w:instrText xml:space="preserve"> \* MERGEFORMAT </w:instrText>
      </w:r>
      <w:r w:rsidR="007F0405" w:rsidRPr="00C06EA8">
        <w:fldChar w:fldCharType="separate"/>
      </w:r>
      <w:r w:rsidR="00C22847" w:rsidRPr="00C06EA8">
        <w:t>8</w:t>
      </w:r>
      <w:r w:rsidR="007F0405" w:rsidRPr="00C06EA8">
        <w:fldChar w:fldCharType="end"/>
      </w:r>
      <w:r w:rsidRPr="00C06EA8">
        <w:rPr>
          <w:rFonts w:hint="eastAsia"/>
        </w:rPr>
        <w:t>]</w:t>
      </w:r>
      <w:r w:rsidRPr="00C06EA8">
        <w:rPr>
          <w:rFonts w:hint="eastAsia"/>
        </w:rPr>
        <w:t>認為品牌形象是用來表達，消費者對於產品實質上內存和外加屬性的詮釋</w:t>
      </w:r>
      <w:r w:rsidRPr="00C06EA8">
        <w:rPr>
          <w:rFonts w:hint="eastAsia"/>
        </w:rPr>
        <w:t>(</w:t>
      </w:r>
      <w:r w:rsidRPr="00C06EA8">
        <w:rPr>
          <w:rFonts w:hint="eastAsia"/>
        </w:rPr>
        <w:t>認知、感覺</w:t>
      </w:r>
      <w:r w:rsidRPr="00C06EA8">
        <w:rPr>
          <w:rFonts w:hint="eastAsia"/>
        </w:rPr>
        <w:t>)</w:t>
      </w:r>
      <w:r w:rsidR="00963909" w:rsidRPr="00C06EA8">
        <w:rPr>
          <w:rFonts w:hint="eastAsia"/>
        </w:rPr>
        <w:t>；並指出形成品牌形象需要的知覺品質、品牌態度、知覺價值、</w:t>
      </w:r>
      <w:r w:rsidRPr="00C06EA8">
        <w:rPr>
          <w:rFonts w:hint="eastAsia"/>
        </w:rPr>
        <w:t>品牌聯想、廣告態度五項要素。</w:t>
      </w:r>
    </w:p>
    <w:p w:rsidR="003B59B9" w:rsidRPr="00AF33DD" w:rsidRDefault="0098356E" w:rsidP="00AF33DD">
      <w:pPr>
        <w:pStyle w:val="12Text"/>
      </w:pPr>
      <w:r w:rsidRPr="00C06EA8">
        <w:rPr>
          <w:rFonts w:hint="eastAsia"/>
        </w:rPr>
        <w:t>不同學者對於品牌形象之特性與構面</w:t>
      </w:r>
      <w:r w:rsidR="00963909" w:rsidRPr="00C06EA8">
        <w:rPr>
          <w:rFonts w:hint="eastAsia"/>
        </w:rPr>
        <w:t>都</w:t>
      </w:r>
      <w:r w:rsidRPr="00C06EA8">
        <w:rPr>
          <w:rFonts w:hint="eastAsia"/>
        </w:rPr>
        <w:t>不</w:t>
      </w:r>
      <w:r w:rsidR="00963909" w:rsidRPr="00C06EA8">
        <w:rPr>
          <w:rFonts w:hint="eastAsia"/>
        </w:rPr>
        <w:t>相</w:t>
      </w:r>
      <w:r w:rsidRPr="00C06EA8">
        <w:rPr>
          <w:rFonts w:hint="eastAsia"/>
        </w:rPr>
        <w:t>同，本研究針對三位學者的研究理論。</w:t>
      </w:r>
      <w:proofErr w:type="spellStart"/>
      <w:r w:rsidRPr="00C06EA8">
        <w:t>Par</w:t>
      </w:r>
      <w:r w:rsidR="007F0405" w:rsidRPr="00C06EA8">
        <w:t>k,Jaworski</w:t>
      </w:r>
      <w:proofErr w:type="spellEnd"/>
      <w:r w:rsidR="007F0405" w:rsidRPr="00C06EA8">
        <w:t xml:space="preserve"> and </w:t>
      </w:r>
      <w:proofErr w:type="spellStart"/>
      <w:r w:rsidR="007F0405" w:rsidRPr="00C06EA8">
        <w:t>MacInnis</w:t>
      </w:r>
      <w:proofErr w:type="spellEnd"/>
      <w:r w:rsidR="007F0405" w:rsidRPr="00AF33DD">
        <w:rPr>
          <w:rFonts w:hint="eastAsia"/>
        </w:rPr>
        <w:t>(1986)[</w:t>
      </w:r>
      <w:r w:rsidR="007F0405" w:rsidRPr="00C06EA8">
        <w:fldChar w:fldCharType="begin"/>
      </w:r>
      <w:r w:rsidR="007F0405" w:rsidRPr="00C06EA8">
        <w:instrText xml:space="preserve"> </w:instrText>
      </w:r>
      <w:r w:rsidR="007F0405" w:rsidRPr="00C06EA8">
        <w:rPr>
          <w:rFonts w:hint="eastAsia"/>
        </w:rPr>
        <w:instrText>REF _Ref59153106 \r \h</w:instrText>
      </w:r>
      <w:r w:rsidR="007F0405" w:rsidRPr="00C06EA8">
        <w:instrText xml:space="preserve"> </w:instrText>
      </w:r>
      <w:r w:rsidR="00963909" w:rsidRPr="00C06EA8">
        <w:instrText xml:space="preserve"> \* MERGEFORMAT </w:instrText>
      </w:r>
      <w:r w:rsidR="007F0405" w:rsidRPr="00C06EA8">
        <w:fldChar w:fldCharType="separate"/>
      </w:r>
      <w:r w:rsidR="00C22847" w:rsidRPr="00C06EA8">
        <w:t>9</w:t>
      </w:r>
      <w:r w:rsidR="007F0405" w:rsidRPr="00C06EA8">
        <w:fldChar w:fldCharType="end"/>
      </w:r>
      <w:r w:rsidRPr="00AF33DD">
        <w:rPr>
          <w:rFonts w:hint="eastAsia"/>
        </w:rPr>
        <w:t>]</w:t>
      </w:r>
      <w:r w:rsidRPr="00AF33DD">
        <w:rPr>
          <w:rFonts w:hint="eastAsia"/>
        </w:rPr>
        <w:t>依據不同的消費者利益為基礎，發展出不同的品牌概念形象</w:t>
      </w:r>
      <w:r w:rsidRPr="00AF33DD">
        <w:rPr>
          <w:rFonts w:hint="eastAsia"/>
        </w:rPr>
        <w:t>(</w:t>
      </w:r>
      <w:r w:rsidRPr="00C06EA8">
        <w:t xml:space="preserve">brand concept- </w:t>
      </w:r>
      <w:proofErr w:type="spellStart"/>
      <w:r w:rsidRPr="00C06EA8">
        <w:t>image,BCM</w:t>
      </w:r>
      <w:proofErr w:type="spellEnd"/>
      <w:r w:rsidRPr="00AF33DD">
        <w:rPr>
          <w:rFonts w:hint="eastAsia"/>
        </w:rPr>
        <w:t>)</w:t>
      </w:r>
      <w:r w:rsidRPr="00AF33DD">
        <w:rPr>
          <w:rFonts w:hint="eastAsia"/>
        </w:rPr>
        <w:t>分為功能性</w:t>
      </w:r>
      <w:r w:rsidRPr="00AF33DD">
        <w:rPr>
          <w:rFonts w:hint="eastAsia"/>
        </w:rPr>
        <w:t>(</w:t>
      </w:r>
      <w:r w:rsidRPr="00C06EA8">
        <w:t>functional</w:t>
      </w:r>
      <w:r w:rsidRPr="00AF33DD">
        <w:rPr>
          <w:rFonts w:hint="eastAsia"/>
        </w:rPr>
        <w:t>)</w:t>
      </w:r>
      <w:r w:rsidR="00976502" w:rsidRPr="00AF33DD">
        <w:rPr>
          <w:rFonts w:hint="eastAsia"/>
        </w:rPr>
        <w:t>、</w:t>
      </w:r>
      <w:r w:rsidRPr="00AF33DD">
        <w:rPr>
          <w:rFonts w:hint="eastAsia"/>
        </w:rPr>
        <w:t>象徵性</w:t>
      </w:r>
      <w:r w:rsidR="004F24C2" w:rsidRPr="00AF33DD">
        <w:rPr>
          <w:rFonts w:hint="eastAsia"/>
        </w:rPr>
        <w:t>(</w:t>
      </w:r>
      <w:r w:rsidR="004F24C2" w:rsidRPr="00C06EA8">
        <w:t>symbolic</w:t>
      </w:r>
      <w:r w:rsidR="004F24C2" w:rsidRPr="00AF33DD">
        <w:rPr>
          <w:rFonts w:hint="eastAsia"/>
        </w:rPr>
        <w:t>)</w:t>
      </w:r>
      <w:r w:rsidR="00976502" w:rsidRPr="00AF33DD">
        <w:rPr>
          <w:rFonts w:hint="eastAsia"/>
        </w:rPr>
        <w:t>、</w:t>
      </w:r>
      <w:r w:rsidRPr="00AF33DD">
        <w:rPr>
          <w:rFonts w:hint="eastAsia"/>
        </w:rPr>
        <w:t>經驗性</w:t>
      </w:r>
      <w:r w:rsidR="00976502" w:rsidRPr="00AF33DD">
        <w:t>(</w:t>
      </w:r>
      <w:r w:rsidR="00976502" w:rsidRPr="00C06EA8">
        <w:t>experiential</w:t>
      </w:r>
      <w:r w:rsidR="00976502" w:rsidRPr="00AF33DD">
        <w:t>)</w:t>
      </w:r>
      <w:r w:rsidR="00976502" w:rsidRPr="00AF33DD">
        <w:rPr>
          <w:rFonts w:hint="eastAsia"/>
        </w:rPr>
        <w:t>，</w:t>
      </w:r>
      <w:r w:rsidR="007F0405" w:rsidRPr="00C06EA8">
        <w:t>Biel(</w:t>
      </w:r>
      <w:r w:rsidR="007F0405" w:rsidRPr="00AF33DD">
        <w:rPr>
          <w:rFonts w:hint="eastAsia"/>
        </w:rPr>
        <w:t>1992)[</w:t>
      </w:r>
      <w:r w:rsidR="007F0405" w:rsidRPr="00C06EA8">
        <w:fldChar w:fldCharType="begin"/>
      </w:r>
      <w:r w:rsidR="007F0405" w:rsidRPr="00C06EA8">
        <w:instrText xml:space="preserve"> </w:instrText>
      </w:r>
      <w:r w:rsidR="007F0405" w:rsidRPr="00C06EA8">
        <w:rPr>
          <w:rFonts w:hint="eastAsia"/>
        </w:rPr>
        <w:instrText>REF _Ref59154151 \r \h</w:instrText>
      </w:r>
      <w:r w:rsidR="007F0405" w:rsidRPr="00C06EA8">
        <w:instrText xml:space="preserve"> </w:instrText>
      </w:r>
      <w:r w:rsidR="00963909" w:rsidRPr="00C06EA8">
        <w:instrText xml:space="preserve"> \* MERGEFORMAT </w:instrText>
      </w:r>
      <w:r w:rsidR="007F0405" w:rsidRPr="00C06EA8">
        <w:fldChar w:fldCharType="separate"/>
      </w:r>
      <w:r w:rsidR="00C22847" w:rsidRPr="00C06EA8">
        <w:t>10</w:t>
      </w:r>
      <w:r w:rsidR="007F0405" w:rsidRPr="00C06EA8">
        <w:fldChar w:fldCharType="end"/>
      </w:r>
      <w:r w:rsidRPr="00AF33DD">
        <w:rPr>
          <w:rFonts w:hint="eastAsia"/>
        </w:rPr>
        <w:t>]</w:t>
      </w:r>
      <w:r w:rsidRPr="00AF33DD">
        <w:rPr>
          <w:rFonts w:hint="eastAsia"/>
        </w:rPr>
        <w:t>認為品牌形象是由</w:t>
      </w:r>
      <w:r w:rsidR="00976502" w:rsidRPr="00AF33DD">
        <w:rPr>
          <w:rFonts w:hint="eastAsia"/>
        </w:rPr>
        <w:t>產品形象</w:t>
      </w:r>
      <w:r w:rsidR="00976502" w:rsidRPr="00AF33DD">
        <w:rPr>
          <w:rFonts w:hint="eastAsia"/>
        </w:rPr>
        <w:t>(</w:t>
      </w:r>
      <w:r w:rsidR="00976502" w:rsidRPr="00C06EA8">
        <w:t>Image of Product</w:t>
      </w:r>
      <w:r w:rsidR="00976502" w:rsidRPr="00AF33DD">
        <w:rPr>
          <w:rFonts w:hint="eastAsia"/>
        </w:rPr>
        <w:t>)</w:t>
      </w:r>
      <w:r w:rsidR="00976502" w:rsidRPr="00AF33DD">
        <w:rPr>
          <w:rFonts w:hint="eastAsia"/>
        </w:rPr>
        <w:t>、使用者形象</w:t>
      </w:r>
      <w:r w:rsidR="00976502" w:rsidRPr="00AF33DD">
        <w:rPr>
          <w:rFonts w:hint="eastAsia"/>
        </w:rPr>
        <w:t>(</w:t>
      </w:r>
      <w:r w:rsidR="00976502" w:rsidRPr="00C06EA8">
        <w:t>Image of User</w:t>
      </w:r>
      <w:r w:rsidR="00976502" w:rsidRPr="00AF33DD">
        <w:rPr>
          <w:rFonts w:hint="eastAsia"/>
        </w:rPr>
        <w:t>)</w:t>
      </w:r>
      <w:r w:rsidR="00976502" w:rsidRPr="00AF33DD">
        <w:rPr>
          <w:rFonts w:hint="eastAsia"/>
        </w:rPr>
        <w:t>、企業形象</w:t>
      </w:r>
      <w:r w:rsidR="00976502" w:rsidRPr="00AF33DD">
        <w:rPr>
          <w:rFonts w:hint="eastAsia"/>
        </w:rPr>
        <w:t>(</w:t>
      </w:r>
      <w:r w:rsidR="00976502" w:rsidRPr="00C06EA8">
        <w:t>Image of Mark</w:t>
      </w:r>
      <w:r w:rsidR="00976502" w:rsidRPr="00AF33DD">
        <w:rPr>
          <w:rFonts w:hint="eastAsia"/>
        </w:rPr>
        <w:t>)</w:t>
      </w:r>
      <w:r w:rsidR="00976502" w:rsidRPr="00AF33DD">
        <w:rPr>
          <w:rFonts w:hint="eastAsia"/>
        </w:rPr>
        <w:t>等</w:t>
      </w:r>
      <w:r w:rsidRPr="00AF33DD">
        <w:rPr>
          <w:rFonts w:hint="eastAsia"/>
        </w:rPr>
        <w:t>附屬形象構成</w:t>
      </w:r>
      <w:r w:rsidR="00976502" w:rsidRPr="00AF33DD">
        <w:rPr>
          <w:rFonts w:hint="eastAsia"/>
        </w:rPr>
        <w:t>，</w:t>
      </w:r>
      <w:r w:rsidRPr="00AF33DD">
        <w:rPr>
          <w:rFonts w:hint="eastAsia"/>
        </w:rPr>
        <w:t>根據</w:t>
      </w:r>
      <w:r w:rsidR="007F0405" w:rsidRPr="00C06EA8">
        <w:t>Keller</w:t>
      </w:r>
      <w:r w:rsidR="007F0405" w:rsidRPr="00AF33DD">
        <w:rPr>
          <w:rFonts w:hint="eastAsia"/>
        </w:rPr>
        <w:t>(1993)[</w:t>
      </w:r>
      <w:r w:rsidR="007F0405" w:rsidRPr="00C06EA8">
        <w:fldChar w:fldCharType="begin"/>
      </w:r>
      <w:r w:rsidR="007F0405" w:rsidRPr="00C06EA8">
        <w:instrText xml:space="preserve"> </w:instrText>
      </w:r>
      <w:r w:rsidR="007F0405" w:rsidRPr="00C06EA8">
        <w:rPr>
          <w:rFonts w:hint="eastAsia"/>
        </w:rPr>
        <w:instrText>REF _Ref59154163 \r \h</w:instrText>
      </w:r>
      <w:r w:rsidR="007F0405" w:rsidRPr="00C06EA8">
        <w:instrText xml:space="preserve"> </w:instrText>
      </w:r>
      <w:r w:rsidR="00963909" w:rsidRPr="00C06EA8">
        <w:instrText xml:space="preserve"> \* MERGEFORMAT </w:instrText>
      </w:r>
      <w:r w:rsidR="007F0405" w:rsidRPr="00C06EA8">
        <w:fldChar w:fldCharType="separate"/>
      </w:r>
      <w:r w:rsidR="00C22847" w:rsidRPr="00C06EA8">
        <w:t>11</w:t>
      </w:r>
      <w:r w:rsidR="007F0405" w:rsidRPr="00C06EA8">
        <w:fldChar w:fldCharType="end"/>
      </w:r>
      <w:r w:rsidRPr="00AF33DD">
        <w:rPr>
          <w:rFonts w:hint="eastAsia"/>
        </w:rPr>
        <w:t>]</w:t>
      </w:r>
      <w:r w:rsidRPr="00AF33DD">
        <w:rPr>
          <w:rFonts w:hint="eastAsia"/>
        </w:rPr>
        <w:t>的模型中將品牌形象細分成品牌聯想的型態</w:t>
      </w:r>
      <w:r w:rsidR="004F24C2" w:rsidRPr="00AF33DD">
        <w:rPr>
          <w:rFonts w:hint="eastAsia"/>
        </w:rPr>
        <w:t>(</w:t>
      </w:r>
      <w:r w:rsidR="004F24C2" w:rsidRPr="00C06EA8">
        <w:t>Type of Associations</w:t>
      </w:r>
      <w:r w:rsidR="004F24C2" w:rsidRPr="00AF33DD">
        <w:rPr>
          <w:rFonts w:hint="eastAsia"/>
        </w:rPr>
        <w:t>)</w:t>
      </w:r>
      <w:r w:rsidR="00976502" w:rsidRPr="00AF33DD">
        <w:rPr>
          <w:rFonts w:hint="eastAsia"/>
        </w:rPr>
        <w:t>、</w:t>
      </w:r>
      <w:r w:rsidR="003B59B9" w:rsidRPr="00AF33DD">
        <w:rPr>
          <w:rFonts w:hint="eastAsia"/>
        </w:rPr>
        <w:t>聯想的喜愛程度</w:t>
      </w:r>
      <w:r w:rsidR="003B59B9" w:rsidRPr="00AF33DD">
        <w:rPr>
          <w:rFonts w:hint="eastAsia"/>
        </w:rPr>
        <w:t>(</w:t>
      </w:r>
      <w:r w:rsidR="003B59B9" w:rsidRPr="00C06EA8">
        <w:t>Favorability of Associations</w:t>
      </w:r>
      <w:r w:rsidR="003B59B9" w:rsidRPr="00AF33DD">
        <w:rPr>
          <w:rFonts w:hint="eastAsia"/>
        </w:rPr>
        <w:t>)</w:t>
      </w:r>
      <w:r w:rsidR="00976502" w:rsidRPr="00AF33DD">
        <w:rPr>
          <w:rFonts w:hint="eastAsia"/>
        </w:rPr>
        <w:t>、</w:t>
      </w:r>
      <w:r w:rsidRPr="00AF33DD">
        <w:rPr>
          <w:rFonts w:hint="eastAsia"/>
        </w:rPr>
        <w:t>品牌聯想的強度</w:t>
      </w:r>
      <w:r w:rsidRPr="00AF33DD">
        <w:rPr>
          <w:rFonts w:hint="eastAsia"/>
        </w:rPr>
        <w:t>(</w:t>
      </w:r>
      <w:r w:rsidRPr="00C06EA8">
        <w:t>Strength of Associations</w:t>
      </w:r>
      <w:r w:rsidRPr="00AF33DD">
        <w:rPr>
          <w:rFonts w:hint="eastAsia"/>
        </w:rPr>
        <w:t>)</w:t>
      </w:r>
      <w:r w:rsidR="00976502" w:rsidRPr="00AF33DD">
        <w:rPr>
          <w:rFonts w:hint="eastAsia"/>
        </w:rPr>
        <w:t>、</w:t>
      </w:r>
      <w:r w:rsidR="003B59B9" w:rsidRPr="00AF33DD">
        <w:rPr>
          <w:rFonts w:hint="eastAsia"/>
        </w:rPr>
        <w:t>品牌聯想的獨特性</w:t>
      </w:r>
      <w:r w:rsidR="003B59B9" w:rsidRPr="00AF33DD">
        <w:rPr>
          <w:rFonts w:hint="eastAsia"/>
        </w:rPr>
        <w:t>(</w:t>
      </w:r>
      <w:r w:rsidR="003B59B9" w:rsidRPr="00C06EA8">
        <w:t>Uniqueness of Associations</w:t>
      </w:r>
      <w:r w:rsidR="003B59B9" w:rsidRPr="00AF33DD">
        <w:rPr>
          <w:rFonts w:hint="eastAsia"/>
        </w:rPr>
        <w:t>)</w:t>
      </w:r>
    </w:p>
    <w:p w:rsidR="003B59B9" w:rsidRPr="00C06EA8" w:rsidRDefault="003B59B9" w:rsidP="00AF33DD">
      <w:pPr>
        <w:pStyle w:val="111"/>
        <w:rPr>
          <w:lang w:eastAsia="zh-CN"/>
        </w:rPr>
      </w:pPr>
      <w:r w:rsidRPr="00C06EA8">
        <w:rPr>
          <w:rFonts w:hint="eastAsia"/>
          <w:lang w:eastAsia="zh-CN"/>
        </w:rPr>
        <w:t>知覺價值</w:t>
      </w:r>
    </w:p>
    <w:p w:rsidR="004F24C2" w:rsidRPr="00AF33DD" w:rsidRDefault="007F0405" w:rsidP="004F24C2">
      <w:pPr>
        <w:pStyle w:val="12Text"/>
      </w:pPr>
      <w:r w:rsidRPr="00C06EA8">
        <w:rPr>
          <w:szCs w:val="20"/>
        </w:rPr>
        <w:t>Chang and Liu</w:t>
      </w:r>
      <w:r w:rsidRPr="00AF33DD">
        <w:rPr>
          <w:rFonts w:hint="eastAsia"/>
        </w:rPr>
        <w:t xml:space="preserve"> (2009)[</w:t>
      </w:r>
      <w:r w:rsidRPr="00C06EA8">
        <w:rPr>
          <w:rFonts w:ascii="新細明體" w:hAnsi="新細明體"/>
          <w:szCs w:val="20"/>
        </w:rPr>
        <w:fldChar w:fldCharType="begin"/>
      </w:r>
      <w:r w:rsidRPr="00C06EA8">
        <w:rPr>
          <w:rFonts w:ascii="新細明體" w:hAnsi="新細明體"/>
          <w:szCs w:val="20"/>
        </w:rPr>
        <w:instrText xml:space="preserve"> </w:instrText>
      </w:r>
      <w:r w:rsidRPr="00C06EA8">
        <w:rPr>
          <w:rFonts w:ascii="新細明體" w:hAnsi="新細明體" w:hint="eastAsia"/>
          <w:szCs w:val="20"/>
        </w:rPr>
        <w:instrText>REF _Ref59154212 \r \h</w:instrText>
      </w:r>
      <w:r w:rsidRPr="00C06EA8">
        <w:rPr>
          <w:rFonts w:ascii="新細明體" w:hAnsi="新細明體"/>
          <w:szCs w:val="20"/>
        </w:rPr>
        <w:instrText xml:space="preserve"> </w:instrText>
      </w:r>
      <w:r w:rsidR="00C06EA8" w:rsidRPr="00C06EA8">
        <w:rPr>
          <w:rFonts w:ascii="新細明體" w:hAnsi="新細明體"/>
          <w:szCs w:val="20"/>
        </w:rPr>
        <w:instrText xml:space="preserve"> \* MERGEFORMAT </w:instrText>
      </w:r>
      <w:r w:rsidRPr="00C06EA8">
        <w:rPr>
          <w:rFonts w:ascii="新細明體" w:hAnsi="新細明體"/>
          <w:szCs w:val="20"/>
        </w:rPr>
      </w:r>
      <w:r w:rsidRPr="00C06EA8">
        <w:rPr>
          <w:rFonts w:ascii="新細明體" w:hAnsi="新細明體"/>
          <w:szCs w:val="20"/>
        </w:rPr>
        <w:fldChar w:fldCharType="separate"/>
      </w:r>
      <w:r w:rsidR="00C22847" w:rsidRPr="00C06EA8">
        <w:rPr>
          <w:rFonts w:ascii="新細明體" w:hAnsi="新細明體"/>
          <w:szCs w:val="20"/>
        </w:rPr>
        <w:t>12</w:t>
      </w:r>
      <w:r w:rsidRPr="00C06EA8">
        <w:rPr>
          <w:rFonts w:ascii="新細明體" w:hAnsi="新細明體"/>
          <w:szCs w:val="20"/>
        </w:rPr>
        <w:fldChar w:fldCharType="end"/>
      </w:r>
      <w:r w:rsidR="003B59B9" w:rsidRPr="00AF33DD">
        <w:rPr>
          <w:rFonts w:hint="eastAsia"/>
        </w:rPr>
        <w:t>]</w:t>
      </w:r>
      <w:r w:rsidR="003B59B9" w:rsidRPr="00AF33DD">
        <w:rPr>
          <w:rFonts w:hint="eastAsia"/>
        </w:rPr>
        <w:t>對知覺價值的定義，品牌對忠誠度有正面意義以及認識該企業知名度高低，就是知覺價值的概念，並作為實務上常以知名度來衡量品牌之價值。知覺價值不論是在消費者或是不同時刻都是主觀的，如產品購買前後、產品使用前後，只要是不同時刻，消費者對於知覺價值的評估，可能都會有所不同</w:t>
      </w:r>
      <w:r w:rsidRPr="00AF33DD">
        <w:rPr>
          <w:rFonts w:hint="eastAsia"/>
        </w:rPr>
        <w:t>(</w:t>
      </w:r>
      <w:proofErr w:type="spellStart"/>
      <w:r w:rsidRPr="00C06EA8">
        <w:rPr>
          <w:szCs w:val="20"/>
        </w:rPr>
        <w:t>Gardial</w:t>
      </w:r>
      <w:proofErr w:type="spellEnd"/>
      <w:r w:rsidRPr="00C06EA8">
        <w:rPr>
          <w:szCs w:val="20"/>
        </w:rPr>
        <w:t xml:space="preserve"> et al</w:t>
      </w:r>
      <w:r w:rsidRPr="00AF33DD">
        <w:rPr>
          <w:rFonts w:hint="eastAsia"/>
        </w:rPr>
        <w:t>, 1994)[</w:t>
      </w:r>
      <w:r w:rsidRPr="00C06EA8">
        <w:rPr>
          <w:rFonts w:ascii="新細明體" w:hAnsi="新細明體"/>
          <w:szCs w:val="20"/>
        </w:rPr>
        <w:fldChar w:fldCharType="begin"/>
      </w:r>
      <w:r w:rsidRPr="00C06EA8">
        <w:rPr>
          <w:rFonts w:ascii="新細明體" w:hAnsi="新細明體"/>
          <w:szCs w:val="20"/>
        </w:rPr>
        <w:instrText xml:space="preserve"> </w:instrText>
      </w:r>
      <w:r w:rsidRPr="00C06EA8">
        <w:rPr>
          <w:rFonts w:ascii="新細明體" w:hAnsi="新細明體" w:hint="eastAsia"/>
          <w:szCs w:val="20"/>
        </w:rPr>
        <w:instrText>REF _Ref59154585 \r \h</w:instrText>
      </w:r>
      <w:r w:rsidRPr="00C06EA8">
        <w:rPr>
          <w:rFonts w:ascii="新細明體" w:hAnsi="新細明體"/>
          <w:szCs w:val="20"/>
        </w:rPr>
        <w:instrText xml:space="preserve"> </w:instrText>
      </w:r>
      <w:r w:rsidR="00C06EA8" w:rsidRPr="00C06EA8">
        <w:rPr>
          <w:rFonts w:ascii="新細明體" w:hAnsi="新細明體"/>
          <w:szCs w:val="20"/>
        </w:rPr>
        <w:instrText xml:space="preserve"> \* MERGEFORMAT </w:instrText>
      </w:r>
      <w:r w:rsidRPr="00C06EA8">
        <w:rPr>
          <w:rFonts w:ascii="新細明體" w:hAnsi="新細明體"/>
          <w:szCs w:val="20"/>
        </w:rPr>
      </w:r>
      <w:r w:rsidRPr="00C06EA8">
        <w:rPr>
          <w:rFonts w:ascii="新細明體" w:hAnsi="新細明體"/>
          <w:szCs w:val="20"/>
        </w:rPr>
        <w:fldChar w:fldCharType="separate"/>
      </w:r>
      <w:r w:rsidR="00C22847" w:rsidRPr="00C06EA8">
        <w:rPr>
          <w:rFonts w:ascii="新細明體" w:hAnsi="新細明體"/>
          <w:szCs w:val="20"/>
        </w:rPr>
        <w:t>13</w:t>
      </w:r>
      <w:r w:rsidRPr="00C06EA8">
        <w:rPr>
          <w:rFonts w:ascii="新細明體" w:hAnsi="新細明體"/>
          <w:szCs w:val="20"/>
        </w:rPr>
        <w:fldChar w:fldCharType="end"/>
      </w:r>
      <w:r w:rsidR="003B59B9" w:rsidRPr="00AF33DD">
        <w:rPr>
          <w:rFonts w:hint="eastAsia"/>
        </w:rPr>
        <w:t>]</w:t>
      </w:r>
      <w:r w:rsidR="003B59B9" w:rsidRPr="00AF33DD">
        <w:rPr>
          <w:rFonts w:hint="eastAsia"/>
        </w:rPr>
        <w:t>。</w:t>
      </w:r>
    </w:p>
    <w:p w:rsidR="003B59B9" w:rsidRPr="00AF33DD" w:rsidRDefault="007F0405" w:rsidP="00963909">
      <w:pPr>
        <w:pStyle w:val="12Text"/>
      </w:pPr>
      <w:r w:rsidRPr="00C06EA8">
        <w:rPr>
          <w:szCs w:val="20"/>
        </w:rPr>
        <w:t>Thaler</w:t>
      </w:r>
      <w:r w:rsidRPr="00AF33DD">
        <w:rPr>
          <w:rFonts w:hint="eastAsia"/>
        </w:rPr>
        <w:t>(1985)[</w:t>
      </w:r>
      <w:r w:rsidRPr="00C06EA8">
        <w:rPr>
          <w:rFonts w:ascii="新細明體" w:hAnsi="新細明體"/>
          <w:szCs w:val="20"/>
        </w:rPr>
        <w:fldChar w:fldCharType="begin"/>
      </w:r>
      <w:r w:rsidRPr="00C06EA8">
        <w:rPr>
          <w:rFonts w:ascii="新細明體" w:hAnsi="新細明體"/>
          <w:szCs w:val="20"/>
        </w:rPr>
        <w:instrText xml:space="preserve"> </w:instrText>
      </w:r>
      <w:r w:rsidRPr="00C06EA8">
        <w:rPr>
          <w:rFonts w:ascii="新細明體" w:hAnsi="新細明體" w:hint="eastAsia"/>
          <w:szCs w:val="20"/>
        </w:rPr>
        <w:instrText>REF _Ref59154619 \r \h</w:instrText>
      </w:r>
      <w:r w:rsidRPr="00C06EA8">
        <w:rPr>
          <w:rFonts w:ascii="新細明體" w:hAnsi="新細明體"/>
          <w:szCs w:val="20"/>
        </w:rPr>
        <w:instrText xml:space="preserve"> </w:instrText>
      </w:r>
      <w:r w:rsidR="00C06EA8" w:rsidRPr="00C06EA8">
        <w:rPr>
          <w:rFonts w:ascii="新細明體" w:hAnsi="新細明體"/>
          <w:szCs w:val="20"/>
        </w:rPr>
        <w:instrText xml:space="preserve"> \* MERGEFORMAT </w:instrText>
      </w:r>
      <w:r w:rsidRPr="00C06EA8">
        <w:rPr>
          <w:rFonts w:ascii="新細明體" w:hAnsi="新細明體"/>
          <w:szCs w:val="20"/>
        </w:rPr>
      </w:r>
      <w:r w:rsidRPr="00C06EA8">
        <w:rPr>
          <w:rFonts w:ascii="新細明體" w:hAnsi="新細明體"/>
          <w:szCs w:val="20"/>
        </w:rPr>
        <w:fldChar w:fldCharType="separate"/>
      </w:r>
      <w:r w:rsidR="00C22847" w:rsidRPr="00C06EA8">
        <w:rPr>
          <w:rFonts w:ascii="新細明體" w:hAnsi="新細明體"/>
          <w:szCs w:val="20"/>
        </w:rPr>
        <w:t>14</w:t>
      </w:r>
      <w:r w:rsidRPr="00C06EA8">
        <w:rPr>
          <w:rFonts w:ascii="新細明體" w:hAnsi="新細明體"/>
          <w:szCs w:val="20"/>
        </w:rPr>
        <w:fldChar w:fldCharType="end"/>
      </w:r>
      <w:r w:rsidR="003B59B9" w:rsidRPr="00AF33DD">
        <w:rPr>
          <w:rFonts w:hint="eastAsia"/>
        </w:rPr>
        <w:t>]</w:t>
      </w:r>
      <w:r w:rsidR="003B59B9" w:rsidRPr="00AF33DD">
        <w:rPr>
          <w:rFonts w:hint="eastAsia"/>
        </w:rPr>
        <w:t>在交易效用理論中提到，每位消費者能付出的能力均不同，自然對價格的感受和接受度會不一樣，因此價格的不同，是會影響顧客的價格判斷與決策，不同特質的人也會對知覺價值產生差異，由此可知知覺價值是相當主觀的定義。</w:t>
      </w:r>
      <w:proofErr w:type="spellStart"/>
      <w:r w:rsidRPr="00C06EA8">
        <w:rPr>
          <w:szCs w:val="20"/>
        </w:rPr>
        <w:t>Swait</w:t>
      </w:r>
      <w:proofErr w:type="spellEnd"/>
      <w:r w:rsidRPr="00C06EA8">
        <w:rPr>
          <w:szCs w:val="20"/>
        </w:rPr>
        <w:t xml:space="preserve"> and Sweeney</w:t>
      </w:r>
      <w:r w:rsidRPr="00AF33DD">
        <w:rPr>
          <w:rFonts w:hint="eastAsia"/>
        </w:rPr>
        <w:t>(2000)[</w:t>
      </w:r>
      <w:r w:rsidRPr="00C06EA8">
        <w:rPr>
          <w:rFonts w:ascii="新細明體" w:hAnsi="新細明體"/>
          <w:szCs w:val="20"/>
        </w:rPr>
        <w:fldChar w:fldCharType="begin"/>
      </w:r>
      <w:r w:rsidRPr="00C06EA8">
        <w:rPr>
          <w:rFonts w:ascii="新細明體" w:hAnsi="新細明體"/>
          <w:szCs w:val="20"/>
        </w:rPr>
        <w:instrText xml:space="preserve"> </w:instrText>
      </w:r>
      <w:r w:rsidRPr="00C06EA8">
        <w:rPr>
          <w:rFonts w:ascii="新細明體" w:hAnsi="新細明體" w:hint="eastAsia"/>
          <w:szCs w:val="20"/>
        </w:rPr>
        <w:instrText>REF _Ref59154628 \r \h</w:instrText>
      </w:r>
      <w:r w:rsidRPr="00C06EA8">
        <w:rPr>
          <w:rFonts w:ascii="新細明體" w:hAnsi="新細明體"/>
          <w:szCs w:val="20"/>
        </w:rPr>
        <w:instrText xml:space="preserve"> </w:instrText>
      </w:r>
      <w:r w:rsidR="00C06EA8" w:rsidRPr="00C06EA8">
        <w:rPr>
          <w:rFonts w:ascii="新細明體" w:hAnsi="新細明體"/>
          <w:szCs w:val="20"/>
        </w:rPr>
        <w:instrText xml:space="preserve"> \* MERGEFORMAT </w:instrText>
      </w:r>
      <w:r w:rsidRPr="00C06EA8">
        <w:rPr>
          <w:rFonts w:ascii="新細明體" w:hAnsi="新細明體"/>
          <w:szCs w:val="20"/>
        </w:rPr>
      </w:r>
      <w:r w:rsidRPr="00C06EA8">
        <w:rPr>
          <w:rFonts w:ascii="新細明體" w:hAnsi="新細明體"/>
          <w:szCs w:val="20"/>
        </w:rPr>
        <w:fldChar w:fldCharType="separate"/>
      </w:r>
      <w:r w:rsidR="00C22847" w:rsidRPr="00C06EA8">
        <w:rPr>
          <w:rFonts w:ascii="新細明體" w:hAnsi="新細明體"/>
          <w:szCs w:val="20"/>
        </w:rPr>
        <w:t>15</w:t>
      </w:r>
      <w:r w:rsidRPr="00C06EA8">
        <w:rPr>
          <w:rFonts w:ascii="新細明體" w:hAnsi="新細明體"/>
          <w:szCs w:val="20"/>
        </w:rPr>
        <w:fldChar w:fldCharType="end"/>
      </w:r>
      <w:r w:rsidR="003B59B9" w:rsidRPr="00AF33DD">
        <w:rPr>
          <w:rFonts w:hint="eastAsia"/>
        </w:rPr>
        <w:t>]</w:t>
      </w:r>
      <w:r w:rsidR="003B59B9" w:rsidRPr="00AF33DD">
        <w:rPr>
          <w:rFonts w:hint="eastAsia"/>
        </w:rPr>
        <w:t>經由知覺價值對消費者行為研究結</w:t>
      </w:r>
      <w:r w:rsidR="003B59B9" w:rsidRPr="00AF33DD">
        <w:rPr>
          <w:rFonts w:hint="eastAsia"/>
        </w:rPr>
        <w:t>果指出，不同知覺價值層次的消費者，所產生的消費行為確實會有所差異。根據上述學者對於知覺價值的探討，本研究依究整理出三位學者的研究理論。</w:t>
      </w:r>
    </w:p>
    <w:p w:rsidR="003B59B9" w:rsidRPr="00AF33DD" w:rsidRDefault="007F0405" w:rsidP="00976502">
      <w:pPr>
        <w:pStyle w:val="12Text"/>
      </w:pPr>
      <w:proofErr w:type="spellStart"/>
      <w:r w:rsidRPr="00C06EA8">
        <w:rPr>
          <w:szCs w:val="20"/>
        </w:rPr>
        <w:t>Fandos</w:t>
      </w:r>
      <w:proofErr w:type="spellEnd"/>
      <w:r w:rsidRPr="00C06EA8">
        <w:rPr>
          <w:szCs w:val="20"/>
        </w:rPr>
        <w:t xml:space="preserve"> et ,al</w:t>
      </w:r>
      <w:r w:rsidRPr="00AF33DD">
        <w:rPr>
          <w:rFonts w:hint="eastAsia"/>
        </w:rPr>
        <w:t>(2006)[</w:t>
      </w:r>
      <w:r w:rsidRPr="00C06EA8">
        <w:rPr>
          <w:rFonts w:ascii="新細明體" w:hAnsi="新細明體"/>
          <w:szCs w:val="20"/>
        </w:rPr>
        <w:fldChar w:fldCharType="begin"/>
      </w:r>
      <w:r w:rsidRPr="00C06EA8">
        <w:rPr>
          <w:rFonts w:ascii="新細明體" w:hAnsi="新細明體"/>
          <w:szCs w:val="20"/>
        </w:rPr>
        <w:instrText xml:space="preserve"> </w:instrText>
      </w:r>
      <w:r w:rsidRPr="00C06EA8">
        <w:rPr>
          <w:rFonts w:ascii="新細明體" w:hAnsi="新細明體" w:hint="eastAsia"/>
          <w:szCs w:val="20"/>
        </w:rPr>
        <w:instrText>REF _Ref59154768 \r \h</w:instrText>
      </w:r>
      <w:r w:rsidRPr="00C06EA8">
        <w:rPr>
          <w:rFonts w:ascii="新細明體" w:hAnsi="新細明體"/>
          <w:szCs w:val="20"/>
        </w:rPr>
        <w:instrText xml:space="preserve"> </w:instrText>
      </w:r>
      <w:r w:rsidR="00963909" w:rsidRPr="00C06EA8">
        <w:rPr>
          <w:rFonts w:ascii="新細明體" w:hAnsi="新細明體"/>
          <w:szCs w:val="20"/>
        </w:rPr>
        <w:instrText xml:space="preserve"> \* MERGEFORMAT </w:instrText>
      </w:r>
      <w:r w:rsidRPr="00C06EA8">
        <w:rPr>
          <w:rFonts w:ascii="新細明體" w:hAnsi="新細明體"/>
          <w:szCs w:val="20"/>
        </w:rPr>
      </w:r>
      <w:r w:rsidRPr="00C06EA8">
        <w:rPr>
          <w:rFonts w:ascii="新細明體" w:hAnsi="新細明體"/>
          <w:szCs w:val="20"/>
        </w:rPr>
        <w:fldChar w:fldCharType="separate"/>
      </w:r>
      <w:r w:rsidR="00C22847" w:rsidRPr="00C06EA8">
        <w:rPr>
          <w:rFonts w:ascii="新細明體" w:hAnsi="新細明體"/>
          <w:szCs w:val="20"/>
        </w:rPr>
        <w:t>16</w:t>
      </w:r>
      <w:r w:rsidRPr="00C06EA8">
        <w:rPr>
          <w:rFonts w:ascii="新細明體" w:hAnsi="新細明體"/>
          <w:szCs w:val="20"/>
        </w:rPr>
        <w:fldChar w:fldCharType="end"/>
      </w:r>
      <w:r w:rsidR="003B59B9" w:rsidRPr="00AF33DD">
        <w:rPr>
          <w:rFonts w:hint="eastAsia"/>
        </w:rPr>
        <w:t>]</w:t>
      </w:r>
      <w:r w:rsidR="003B59B9" w:rsidRPr="00AF33DD">
        <w:rPr>
          <w:rFonts w:hint="eastAsia"/>
        </w:rPr>
        <w:t>提出的知覺價值模型中，分為探知性價值</w:t>
      </w:r>
      <w:r w:rsidR="00976502" w:rsidRPr="00AF33DD">
        <w:rPr>
          <w:rFonts w:hint="eastAsia"/>
        </w:rPr>
        <w:t>、</w:t>
      </w:r>
      <w:r w:rsidR="003B59B9" w:rsidRPr="00AF33DD">
        <w:rPr>
          <w:rFonts w:hint="eastAsia"/>
        </w:rPr>
        <w:t>情感性價值</w:t>
      </w:r>
      <w:r w:rsidR="00976502" w:rsidRPr="00AF33DD">
        <w:rPr>
          <w:rFonts w:hint="eastAsia"/>
        </w:rPr>
        <w:t>、</w:t>
      </w:r>
      <w:r w:rsidR="003B59B9" w:rsidRPr="00AF33DD">
        <w:rPr>
          <w:rFonts w:hint="eastAsia"/>
        </w:rPr>
        <w:t>功能性價值</w:t>
      </w:r>
      <w:r w:rsidR="00976502" w:rsidRPr="00AF33DD">
        <w:rPr>
          <w:rFonts w:hint="eastAsia"/>
        </w:rPr>
        <w:t>、</w:t>
      </w:r>
      <w:r w:rsidR="003B59B9" w:rsidRPr="00AF33DD">
        <w:rPr>
          <w:rFonts w:hint="eastAsia"/>
        </w:rPr>
        <w:t>社會性價值</w:t>
      </w:r>
      <w:r w:rsidR="00976502" w:rsidRPr="00AF33DD">
        <w:rPr>
          <w:rFonts w:hint="eastAsia"/>
        </w:rPr>
        <w:t>等四種衡量構面，</w:t>
      </w:r>
      <w:proofErr w:type="spellStart"/>
      <w:r w:rsidRPr="00C06EA8">
        <w:rPr>
          <w:szCs w:val="20"/>
        </w:rPr>
        <w:t>Sheth</w:t>
      </w:r>
      <w:proofErr w:type="spellEnd"/>
      <w:r w:rsidRPr="00C06EA8">
        <w:rPr>
          <w:szCs w:val="20"/>
        </w:rPr>
        <w:t>, Newman &amp; Gross</w:t>
      </w:r>
      <w:r w:rsidRPr="00AF33DD">
        <w:rPr>
          <w:rFonts w:hint="eastAsia"/>
        </w:rPr>
        <w:t xml:space="preserve"> (1991)[</w:t>
      </w:r>
      <w:r w:rsidRPr="00C06EA8">
        <w:rPr>
          <w:rFonts w:ascii="新細明體" w:hAnsi="新細明體"/>
          <w:szCs w:val="20"/>
        </w:rPr>
        <w:fldChar w:fldCharType="begin"/>
      </w:r>
      <w:r w:rsidRPr="00C06EA8">
        <w:rPr>
          <w:rFonts w:ascii="新細明體" w:hAnsi="新細明體"/>
          <w:szCs w:val="20"/>
        </w:rPr>
        <w:instrText xml:space="preserve"> </w:instrText>
      </w:r>
      <w:r w:rsidRPr="00C06EA8">
        <w:rPr>
          <w:rFonts w:ascii="新細明體" w:hAnsi="新細明體" w:hint="eastAsia"/>
          <w:szCs w:val="20"/>
        </w:rPr>
        <w:instrText>REF _Ref70657180 \r \h</w:instrText>
      </w:r>
      <w:r w:rsidRPr="00C06EA8">
        <w:rPr>
          <w:rFonts w:ascii="新細明體" w:hAnsi="新細明體"/>
          <w:szCs w:val="20"/>
        </w:rPr>
        <w:instrText xml:space="preserve"> </w:instrText>
      </w:r>
      <w:r w:rsidR="00963909" w:rsidRPr="00C06EA8">
        <w:rPr>
          <w:rFonts w:ascii="新細明體" w:hAnsi="新細明體"/>
          <w:szCs w:val="20"/>
        </w:rPr>
        <w:instrText xml:space="preserve"> \* MERGEFORMAT </w:instrText>
      </w:r>
      <w:r w:rsidRPr="00C06EA8">
        <w:rPr>
          <w:rFonts w:ascii="新細明體" w:hAnsi="新細明體"/>
          <w:szCs w:val="20"/>
        </w:rPr>
      </w:r>
      <w:r w:rsidRPr="00C06EA8">
        <w:rPr>
          <w:rFonts w:ascii="新細明體" w:hAnsi="新細明體"/>
          <w:szCs w:val="20"/>
        </w:rPr>
        <w:fldChar w:fldCharType="separate"/>
      </w:r>
      <w:r w:rsidR="00C22847" w:rsidRPr="00C06EA8">
        <w:rPr>
          <w:rFonts w:ascii="新細明體" w:hAnsi="新細明體"/>
          <w:szCs w:val="20"/>
        </w:rPr>
        <w:t>17</w:t>
      </w:r>
      <w:r w:rsidRPr="00C06EA8">
        <w:rPr>
          <w:rFonts w:ascii="新細明體" w:hAnsi="新細明體"/>
          <w:szCs w:val="20"/>
        </w:rPr>
        <w:fldChar w:fldCharType="end"/>
      </w:r>
      <w:r w:rsidR="003B59B9" w:rsidRPr="00AF33DD">
        <w:rPr>
          <w:rFonts w:hint="eastAsia"/>
        </w:rPr>
        <w:t>]</w:t>
      </w:r>
      <w:r w:rsidR="003B59B9" w:rsidRPr="00AF33DD">
        <w:rPr>
          <w:rFonts w:hint="eastAsia"/>
        </w:rPr>
        <w:t>對知覺價值提出了</w:t>
      </w:r>
      <w:r w:rsidR="004F24C2" w:rsidRPr="00AF33DD">
        <w:rPr>
          <w:rFonts w:hint="eastAsia"/>
        </w:rPr>
        <w:t>條件性價值</w:t>
      </w:r>
      <w:r w:rsidR="00976502" w:rsidRPr="00AF33DD">
        <w:rPr>
          <w:rFonts w:hint="eastAsia"/>
        </w:rPr>
        <w:t>、</w:t>
      </w:r>
      <w:r w:rsidR="003B59B9" w:rsidRPr="00AF33DD">
        <w:rPr>
          <w:rFonts w:hint="eastAsia"/>
        </w:rPr>
        <w:t>社會性價值</w:t>
      </w:r>
      <w:r w:rsidR="00976502" w:rsidRPr="00AF33DD">
        <w:rPr>
          <w:rFonts w:hint="eastAsia"/>
        </w:rPr>
        <w:t>、</w:t>
      </w:r>
      <w:r w:rsidR="003B59B9" w:rsidRPr="00AF33DD">
        <w:rPr>
          <w:rFonts w:hint="eastAsia"/>
        </w:rPr>
        <w:t>情感性價值</w:t>
      </w:r>
      <w:r w:rsidR="00976502" w:rsidRPr="00AF33DD">
        <w:rPr>
          <w:rFonts w:hint="eastAsia"/>
        </w:rPr>
        <w:t>、</w:t>
      </w:r>
      <w:r w:rsidR="003B59B9" w:rsidRPr="00AF33DD">
        <w:rPr>
          <w:rFonts w:hint="eastAsia"/>
        </w:rPr>
        <w:t>認知性價值</w:t>
      </w:r>
      <w:r w:rsidR="00976502" w:rsidRPr="00AF33DD">
        <w:rPr>
          <w:rFonts w:hint="eastAsia"/>
        </w:rPr>
        <w:t>、</w:t>
      </w:r>
      <w:r w:rsidR="00963909" w:rsidRPr="00AF33DD">
        <w:rPr>
          <w:rFonts w:hint="eastAsia"/>
        </w:rPr>
        <w:t>功能性價值</w:t>
      </w:r>
      <w:r w:rsidR="00976502" w:rsidRPr="00AF33DD">
        <w:rPr>
          <w:rFonts w:hint="eastAsia"/>
        </w:rPr>
        <w:t>等五種衡量構面的模型；</w:t>
      </w:r>
      <w:proofErr w:type="spellStart"/>
      <w:r w:rsidRPr="00C06EA8">
        <w:rPr>
          <w:szCs w:val="20"/>
        </w:rPr>
        <w:t>Petrick</w:t>
      </w:r>
      <w:proofErr w:type="spellEnd"/>
      <w:r w:rsidRPr="00AF33DD">
        <w:rPr>
          <w:rFonts w:hint="eastAsia"/>
        </w:rPr>
        <w:t xml:space="preserve"> (2002)[</w:t>
      </w:r>
      <w:r w:rsidRPr="00C06EA8">
        <w:rPr>
          <w:rFonts w:ascii="新細明體" w:hAnsi="新細明體"/>
          <w:szCs w:val="20"/>
        </w:rPr>
        <w:fldChar w:fldCharType="begin"/>
      </w:r>
      <w:r w:rsidRPr="00C06EA8">
        <w:rPr>
          <w:rFonts w:ascii="新細明體" w:hAnsi="新細明體"/>
          <w:szCs w:val="20"/>
        </w:rPr>
        <w:instrText xml:space="preserve"> </w:instrText>
      </w:r>
      <w:r w:rsidRPr="00C06EA8">
        <w:rPr>
          <w:rFonts w:ascii="新細明體" w:hAnsi="新細明體" w:hint="eastAsia"/>
          <w:szCs w:val="20"/>
        </w:rPr>
        <w:instrText>REF _Ref59154803 \r \h</w:instrText>
      </w:r>
      <w:r w:rsidRPr="00C06EA8">
        <w:rPr>
          <w:rFonts w:ascii="新細明體" w:hAnsi="新細明體"/>
          <w:szCs w:val="20"/>
        </w:rPr>
        <w:instrText xml:space="preserve"> </w:instrText>
      </w:r>
      <w:r w:rsidR="00963909" w:rsidRPr="00C06EA8">
        <w:rPr>
          <w:rFonts w:ascii="新細明體" w:hAnsi="新細明體"/>
          <w:szCs w:val="20"/>
        </w:rPr>
        <w:instrText xml:space="preserve"> \* MERGEFORMAT </w:instrText>
      </w:r>
      <w:r w:rsidRPr="00C06EA8">
        <w:rPr>
          <w:rFonts w:ascii="新細明體" w:hAnsi="新細明體"/>
          <w:szCs w:val="20"/>
        </w:rPr>
      </w:r>
      <w:r w:rsidRPr="00C06EA8">
        <w:rPr>
          <w:rFonts w:ascii="新細明體" w:hAnsi="新細明體"/>
          <w:szCs w:val="20"/>
        </w:rPr>
        <w:fldChar w:fldCharType="separate"/>
      </w:r>
      <w:r w:rsidR="00C22847" w:rsidRPr="00C06EA8">
        <w:rPr>
          <w:rFonts w:ascii="新細明體" w:hAnsi="新細明體"/>
          <w:szCs w:val="20"/>
        </w:rPr>
        <w:t>18</w:t>
      </w:r>
      <w:r w:rsidRPr="00C06EA8">
        <w:rPr>
          <w:rFonts w:ascii="新細明體" w:hAnsi="新細明體"/>
          <w:szCs w:val="20"/>
        </w:rPr>
        <w:fldChar w:fldCharType="end"/>
      </w:r>
      <w:r w:rsidR="003B59B9" w:rsidRPr="00AF33DD">
        <w:rPr>
          <w:rFonts w:hint="eastAsia"/>
        </w:rPr>
        <w:t>]</w:t>
      </w:r>
      <w:r w:rsidR="003B59B9" w:rsidRPr="00AF33DD">
        <w:rPr>
          <w:rFonts w:hint="eastAsia"/>
        </w:rPr>
        <w:t>提出</w:t>
      </w:r>
      <w:r w:rsidR="003B59B9" w:rsidRPr="00C06EA8">
        <w:rPr>
          <w:szCs w:val="20"/>
        </w:rPr>
        <w:t>Serv-</w:t>
      </w:r>
      <w:proofErr w:type="spellStart"/>
      <w:r w:rsidR="003B59B9" w:rsidRPr="00C06EA8">
        <w:rPr>
          <w:szCs w:val="20"/>
        </w:rPr>
        <w:t>Perval</w:t>
      </w:r>
      <w:proofErr w:type="spellEnd"/>
      <w:r w:rsidR="003B59B9" w:rsidRPr="00AF33DD">
        <w:rPr>
          <w:rFonts w:hint="eastAsia"/>
        </w:rPr>
        <w:t>多重構面尺度衡量法，將知覺價值分成品質</w:t>
      </w:r>
      <w:r w:rsidR="003B59B9" w:rsidRPr="00AF33DD">
        <w:rPr>
          <w:rFonts w:hint="eastAsia"/>
        </w:rPr>
        <w:t>(</w:t>
      </w:r>
      <w:r w:rsidR="003B59B9" w:rsidRPr="00C06EA8">
        <w:rPr>
          <w:szCs w:val="20"/>
        </w:rPr>
        <w:t>Quality</w:t>
      </w:r>
      <w:r w:rsidR="003B59B9" w:rsidRPr="00AF33DD">
        <w:rPr>
          <w:rFonts w:hint="eastAsia"/>
        </w:rPr>
        <w:t>)</w:t>
      </w:r>
      <w:r w:rsidR="00976502" w:rsidRPr="00AF33DD">
        <w:rPr>
          <w:rFonts w:hint="eastAsia"/>
        </w:rPr>
        <w:t>、</w:t>
      </w:r>
      <w:r w:rsidR="003B59B9" w:rsidRPr="00AF33DD">
        <w:rPr>
          <w:rFonts w:hint="eastAsia"/>
        </w:rPr>
        <w:t>貨幣價格</w:t>
      </w:r>
      <w:r w:rsidR="004F24C2" w:rsidRPr="00AF33DD">
        <w:rPr>
          <w:rFonts w:hint="eastAsia"/>
        </w:rPr>
        <w:t>(</w:t>
      </w:r>
      <w:r w:rsidR="004F24C2" w:rsidRPr="00C06EA8">
        <w:rPr>
          <w:szCs w:val="20"/>
        </w:rPr>
        <w:t>Monetary Price</w:t>
      </w:r>
      <w:r w:rsidR="004F24C2" w:rsidRPr="00AF33DD">
        <w:rPr>
          <w:rFonts w:hint="eastAsia"/>
        </w:rPr>
        <w:t>)</w:t>
      </w:r>
      <w:r w:rsidR="00976502" w:rsidRPr="00AF33DD">
        <w:rPr>
          <w:rFonts w:hint="eastAsia"/>
        </w:rPr>
        <w:t>、</w:t>
      </w:r>
      <w:r w:rsidR="003B59B9" w:rsidRPr="00AF33DD">
        <w:rPr>
          <w:rFonts w:hint="eastAsia"/>
        </w:rPr>
        <w:t>行為價值</w:t>
      </w:r>
      <w:r w:rsidR="003B59B9" w:rsidRPr="00AF33DD">
        <w:rPr>
          <w:rFonts w:hint="eastAsia"/>
        </w:rPr>
        <w:t>(</w:t>
      </w:r>
      <w:r w:rsidR="003B59B9" w:rsidRPr="00C06EA8">
        <w:rPr>
          <w:szCs w:val="20"/>
        </w:rPr>
        <w:t xml:space="preserve">Behavioral </w:t>
      </w:r>
      <w:r w:rsidR="004F24C2" w:rsidRPr="00C06EA8">
        <w:rPr>
          <w:szCs w:val="20"/>
        </w:rPr>
        <w:t>Price</w:t>
      </w:r>
      <w:r w:rsidR="004F24C2" w:rsidRPr="00AF33DD">
        <w:rPr>
          <w:rFonts w:hint="eastAsia"/>
        </w:rPr>
        <w:t>)</w:t>
      </w:r>
      <w:r w:rsidR="00976502" w:rsidRPr="00AF33DD">
        <w:rPr>
          <w:rFonts w:hint="eastAsia"/>
        </w:rPr>
        <w:t>、</w:t>
      </w:r>
      <w:r w:rsidR="003B59B9" w:rsidRPr="00AF33DD">
        <w:rPr>
          <w:rFonts w:hint="eastAsia"/>
        </w:rPr>
        <w:t>情感性反應</w:t>
      </w:r>
      <w:r w:rsidR="003B59B9" w:rsidRPr="00AF33DD">
        <w:rPr>
          <w:rFonts w:hint="eastAsia"/>
        </w:rPr>
        <w:t>(</w:t>
      </w:r>
      <w:r w:rsidR="003B59B9" w:rsidRPr="00C06EA8">
        <w:rPr>
          <w:szCs w:val="20"/>
        </w:rPr>
        <w:t>Emotion Response</w:t>
      </w:r>
      <w:r w:rsidR="003B59B9" w:rsidRPr="00AF33DD">
        <w:rPr>
          <w:rFonts w:hint="eastAsia"/>
        </w:rPr>
        <w:t>)</w:t>
      </w:r>
      <w:r w:rsidR="00976502" w:rsidRPr="00AF33DD">
        <w:rPr>
          <w:rFonts w:hint="eastAsia"/>
        </w:rPr>
        <w:t>、</w:t>
      </w:r>
      <w:r w:rsidR="003B59B9" w:rsidRPr="00AF33DD">
        <w:rPr>
          <w:rFonts w:hint="eastAsia"/>
        </w:rPr>
        <w:t>聲譽</w:t>
      </w:r>
      <w:r w:rsidR="003B59B9" w:rsidRPr="00AF33DD">
        <w:rPr>
          <w:rFonts w:hint="eastAsia"/>
        </w:rPr>
        <w:t>(</w:t>
      </w:r>
      <w:r w:rsidR="003B59B9" w:rsidRPr="00C06EA8">
        <w:rPr>
          <w:szCs w:val="20"/>
        </w:rPr>
        <w:t>Reputation</w:t>
      </w:r>
      <w:r w:rsidR="003B59B9" w:rsidRPr="00AF33DD">
        <w:rPr>
          <w:rFonts w:hint="eastAsia"/>
        </w:rPr>
        <w:t>)</w:t>
      </w:r>
      <w:r w:rsidR="00976502" w:rsidRPr="00AF33DD">
        <w:rPr>
          <w:rFonts w:hint="eastAsia"/>
        </w:rPr>
        <w:t>等五大構面。</w:t>
      </w:r>
    </w:p>
    <w:p w:rsidR="00A871E8" w:rsidRPr="00C06EA8" w:rsidRDefault="00A871E8" w:rsidP="00AF33DD">
      <w:pPr>
        <w:pStyle w:val="111"/>
      </w:pPr>
      <w:r w:rsidRPr="00C06EA8">
        <w:rPr>
          <w:rFonts w:hint="eastAsia"/>
        </w:rPr>
        <w:t>購買意願</w:t>
      </w:r>
    </w:p>
    <w:p w:rsidR="00A871E8" w:rsidRPr="00AF33DD" w:rsidRDefault="00A871E8" w:rsidP="00A871E8">
      <w:pPr>
        <w:pStyle w:val="12Text"/>
      </w:pPr>
      <w:r w:rsidRPr="00AF33DD">
        <w:rPr>
          <w:rFonts w:hint="eastAsia"/>
        </w:rPr>
        <w:t>購買意願就是消費者實際購買商品的過程和可能性，而購買意願越高，代表著購買機率越大</w:t>
      </w:r>
      <w:r w:rsidR="007F0405" w:rsidRPr="00AF33DD">
        <w:rPr>
          <w:rFonts w:hint="eastAsia"/>
        </w:rPr>
        <w:t>(</w:t>
      </w:r>
      <w:proofErr w:type="spellStart"/>
      <w:r w:rsidR="007F0405" w:rsidRPr="00C06EA8">
        <w:rPr>
          <w:szCs w:val="20"/>
        </w:rPr>
        <w:t>Bagozzi</w:t>
      </w:r>
      <w:proofErr w:type="spellEnd"/>
      <w:r w:rsidR="007F0405" w:rsidRPr="00C06EA8">
        <w:rPr>
          <w:szCs w:val="20"/>
        </w:rPr>
        <w:t xml:space="preserve"> &amp; Burnkrant</w:t>
      </w:r>
      <w:r w:rsidR="007F0405" w:rsidRPr="00AF33DD">
        <w:rPr>
          <w:rFonts w:hint="eastAsia"/>
        </w:rPr>
        <w:t>,1979)[</w:t>
      </w:r>
      <w:r w:rsidR="007F0405" w:rsidRPr="00C06EA8">
        <w:rPr>
          <w:rFonts w:ascii="新細明體" w:hAnsi="新細明體"/>
          <w:szCs w:val="20"/>
        </w:rPr>
        <w:fldChar w:fldCharType="begin"/>
      </w:r>
      <w:r w:rsidR="007F0405" w:rsidRPr="00C06EA8">
        <w:rPr>
          <w:rFonts w:ascii="新細明體" w:hAnsi="新細明體"/>
          <w:szCs w:val="20"/>
        </w:rPr>
        <w:instrText xml:space="preserve"> </w:instrText>
      </w:r>
      <w:r w:rsidR="007F0405" w:rsidRPr="00C06EA8">
        <w:rPr>
          <w:rFonts w:ascii="新細明體" w:hAnsi="新細明體" w:hint="eastAsia"/>
          <w:szCs w:val="20"/>
        </w:rPr>
        <w:instrText>REF _Ref59154838 \r \h</w:instrText>
      </w:r>
      <w:r w:rsidR="007F0405" w:rsidRPr="00C06EA8">
        <w:rPr>
          <w:rFonts w:ascii="新細明體" w:hAnsi="新細明體"/>
          <w:szCs w:val="20"/>
        </w:rPr>
        <w:instrText xml:space="preserve"> </w:instrText>
      </w:r>
      <w:r w:rsidR="00C06EA8" w:rsidRPr="00C06EA8">
        <w:rPr>
          <w:rFonts w:ascii="新細明體" w:hAnsi="新細明體"/>
          <w:szCs w:val="20"/>
        </w:rPr>
        <w:instrText xml:space="preserve"> \* MERGEFORMAT </w:instrText>
      </w:r>
      <w:r w:rsidR="007F0405" w:rsidRPr="00C06EA8">
        <w:rPr>
          <w:rFonts w:ascii="新細明體" w:hAnsi="新細明體"/>
          <w:szCs w:val="20"/>
        </w:rPr>
      </w:r>
      <w:r w:rsidR="007F0405" w:rsidRPr="00C06EA8">
        <w:rPr>
          <w:rFonts w:ascii="新細明體" w:hAnsi="新細明體"/>
          <w:szCs w:val="20"/>
        </w:rPr>
        <w:fldChar w:fldCharType="separate"/>
      </w:r>
      <w:r w:rsidR="00C22847" w:rsidRPr="00C06EA8">
        <w:rPr>
          <w:rFonts w:ascii="新細明體" w:hAnsi="新細明體"/>
          <w:szCs w:val="20"/>
        </w:rPr>
        <w:t>19</w:t>
      </w:r>
      <w:r w:rsidR="007F0405" w:rsidRPr="00C06EA8">
        <w:rPr>
          <w:rFonts w:ascii="新細明體" w:hAnsi="新細明體"/>
          <w:szCs w:val="20"/>
        </w:rPr>
        <w:fldChar w:fldCharType="end"/>
      </w:r>
      <w:r w:rsidRPr="00AF33DD">
        <w:rPr>
          <w:rFonts w:hint="eastAsia"/>
        </w:rPr>
        <w:t>]</w:t>
      </w:r>
      <w:r w:rsidRPr="00AF33DD">
        <w:rPr>
          <w:rFonts w:hint="eastAsia"/>
        </w:rPr>
        <w:t>。購買意願除了是消費者購買產品的可能性之外，也是消費者進行主觀的知覺價值來做選擇。</w:t>
      </w:r>
      <w:r w:rsidR="007F0405" w:rsidRPr="00C06EA8">
        <w:rPr>
          <w:szCs w:val="20"/>
        </w:rPr>
        <w:t xml:space="preserve">Schiffman &amp; </w:t>
      </w:r>
      <w:proofErr w:type="spellStart"/>
      <w:r w:rsidR="007F0405" w:rsidRPr="00C06EA8">
        <w:rPr>
          <w:szCs w:val="20"/>
        </w:rPr>
        <w:t>Kanuk</w:t>
      </w:r>
      <w:proofErr w:type="spellEnd"/>
      <w:r w:rsidR="007F0405" w:rsidRPr="00AF33DD">
        <w:rPr>
          <w:rFonts w:hint="eastAsia"/>
        </w:rPr>
        <w:t>(2000)[</w:t>
      </w:r>
      <w:r w:rsidR="007F0405" w:rsidRPr="00C06EA8">
        <w:rPr>
          <w:rFonts w:ascii="新細明體" w:hAnsi="新細明體"/>
          <w:szCs w:val="20"/>
        </w:rPr>
        <w:fldChar w:fldCharType="begin"/>
      </w:r>
      <w:r w:rsidR="007F0405" w:rsidRPr="00C06EA8">
        <w:rPr>
          <w:rFonts w:ascii="新細明體" w:hAnsi="新細明體"/>
          <w:szCs w:val="20"/>
        </w:rPr>
        <w:instrText xml:space="preserve"> </w:instrText>
      </w:r>
      <w:r w:rsidR="007F0405" w:rsidRPr="00C06EA8">
        <w:rPr>
          <w:rFonts w:ascii="新細明體" w:hAnsi="新細明體" w:hint="eastAsia"/>
          <w:szCs w:val="20"/>
        </w:rPr>
        <w:instrText>REF _Ref59154827 \r \h</w:instrText>
      </w:r>
      <w:r w:rsidR="007F0405" w:rsidRPr="00C06EA8">
        <w:rPr>
          <w:rFonts w:ascii="新細明體" w:hAnsi="新細明體"/>
          <w:szCs w:val="20"/>
        </w:rPr>
        <w:instrText xml:space="preserve"> </w:instrText>
      </w:r>
      <w:r w:rsidR="00C06EA8" w:rsidRPr="00C06EA8">
        <w:rPr>
          <w:rFonts w:ascii="新細明體" w:hAnsi="新細明體"/>
          <w:szCs w:val="20"/>
        </w:rPr>
        <w:instrText xml:space="preserve"> \* MERGEFORMAT </w:instrText>
      </w:r>
      <w:r w:rsidR="007F0405" w:rsidRPr="00C06EA8">
        <w:rPr>
          <w:rFonts w:ascii="新細明體" w:hAnsi="新細明體"/>
          <w:szCs w:val="20"/>
        </w:rPr>
      </w:r>
      <w:r w:rsidR="007F0405" w:rsidRPr="00C06EA8">
        <w:rPr>
          <w:rFonts w:ascii="新細明體" w:hAnsi="新細明體"/>
          <w:szCs w:val="20"/>
        </w:rPr>
        <w:fldChar w:fldCharType="separate"/>
      </w:r>
      <w:r w:rsidR="00C22847" w:rsidRPr="00C06EA8">
        <w:rPr>
          <w:rFonts w:ascii="新細明體" w:hAnsi="新細明體"/>
          <w:szCs w:val="20"/>
        </w:rPr>
        <w:t>20</w:t>
      </w:r>
      <w:r w:rsidR="007F0405" w:rsidRPr="00C06EA8">
        <w:rPr>
          <w:rFonts w:ascii="新細明體" w:hAnsi="新細明體"/>
          <w:szCs w:val="20"/>
        </w:rPr>
        <w:fldChar w:fldCharType="end"/>
      </w:r>
      <w:r w:rsidRPr="00AF33DD">
        <w:rPr>
          <w:rFonts w:hint="eastAsia"/>
        </w:rPr>
        <w:t>]</w:t>
      </w:r>
      <w:r w:rsidRPr="00AF33DD">
        <w:rPr>
          <w:rFonts w:hint="eastAsia"/>
        </w:rPr>
        <w:t>認為購買意願可以用在預測實際的行為上，甚至比偏好預測的購買行為更為準確。</w:t>
      </w:r>
    </w:p>
    <w:p w:rsidR="00A871E8" w:rsidRPr="00AF33DD" w:rsidRDefault="00F73EDC" w:rsidP="00AF33DD">
      <w:pPr>
        <w:pStyle w:val="09"/>
      </w:pPr>
      <w:bookmarkStart w:id="3" w:name="_Ref70659853"/>
      <w:r w:rsidRPr="00C06EA8">
        <w:rPr>
          <w:rFonts w:hint="eastAsia"/>
        </w:rPr>
        <w:t>表</w:t>
      </w:r>
      <w:r w:rsidRPr="00C06EA8">
        <w:rPr>
          <w:rFonts w:hint="eastAsia"/>
        </w:rPr>
        <w:t xml:space="preserve"> </w:t>
      </w:r>
      <w:r w:rsidRPr="00C06EA8">
        <w:fldChar w:fldCharType="begin"/>
      </w:r>
      <w:r w:rsidRPr="00C06EA8">
        <w:instrText xml:space="preserve"> </w:instrText>
      </w:r>
      <w:r w:rsidRPr="00C06EA8">
        <w:rPr>
          <w:rFonts w:hint="eastAsia"/>
        </w:rPr>
        <w:instrText xml:space="preserve">SEQ </w:instrText>
      </w:r>
      <w:r w:rsidRPr="00C06EA8">
        <w:rPr>
          <w:rFonts w:hint="eastAsia"/>
        </w:rPr>
        <w:instrText>表</w:instrText>
      </w:r>
      <w:r w:rsidRPr="00C06EA8">
        <w:rPr>
          <w:rFonts w:hint="eastAsia"/>
        </w:rPr>
        <w:instrText xml:space="preserve"> \* ARABIC</w:instrText>
      </w:r>
      <w:r w:rsidRPr="00C06EA8">
        <w:instrText xml:space="preserve"> </w:instrText>
      </w:r>
      <w:r w:rsidRPr="00C06EA8">
        <w:fldChar w:fldCharType="separate"/>
      </w:r>
      <w:r w:rsidR="00C22847" w:rsidRPr="00C06EA8">
        <w:t>1</w:t>
      </w:r>
      <w:r w:rsidRPr="00C06EA8">
        <w:fldChar w:fldCharType="end"/>
      </w:r>
      <w:bookmarkEnd w:id="3"/>
      <w:r w:rsidR="00A871E8" w:rsidRPr="00C06EA8">
        <w:t>各學者</w:t>
      </w:r>
      <w:r w:rsidR="00A871E8" w:rsidRPr="00C06EA8">
        <w:rPr>
          <w:rFonts w:hint="eastAsia"/>
        </w:rPr>
        <w:t>提出影響購買意願的因素</w:t>
      </w:r>
    </w:p>
    <w:tbl>
      <w:tblPr>
        <w:tblW w:w="4848" w:type="dxa"/>
        <w:tblInd w:w="-171" w:type="dxa"/>
        <w:tblBorders>
          <w:top w:val="single" w:sz="8" w:space="0" w:color="auto"/>
          <w:bottom w:val="single" w:sz="8" w:space="0" w:color="auto"/>
        </w:tblBorders>
        <w:tblCellMar>
          <w:top w:w="28" w:type="dxa"/>
          <w:left w:w="57" w:type="dxa"/>
          <w:bottom w:w="28" w:type="dxa"/>
          <w:right w:w="57" w:type="dxa"/>
        </w:tblCellMar>
        <w:tblLook w:val="04A0" w:firstRow="1" w:lastRow="0" w:firstColumn="1" w:lastColumn="0" w:noHBand="0" w:noVBand="1"/>
      </w:tblPr>
      <w:tblGrid>
        <w:gridCol w:w="1651"/>
        <w:gridCol w:w="3197"/>
      </w:tblGrid>
      <w:tr w:rsidR="00A871E8" w:rsidRPr="00C06EA8" w:rsidTr="00D846F0">
        <w:trPr>
          <w:trHeight w:val="98"/>
        </w:trPr>
        <w:tc>
          <w:tcPr>
            <w:tcW w:w="1604" w:type="dxa"/>
            <w:tcBorders>
              <w:top w:val="single" w:sz="8" w:space="0" w:color="auto"/>
              <w:bottom w:val="single" w:sz="4" w:space="0" w:color="auto"/>
            </w:tcBorders>
            <w:shd w:val="clear" w:color="auto" w:fill="auto"/>
            <w:vAlign w:val="center"/>
          </w:tcPr>
          <w:p w:rsidR="00A871E8" w:rsidRPr="00C06EA8" w:rsidRDefault="00A871E8" w:rsidP="003B17B9">
            <w:pPr>
              <w:pStyle w:val="Table-"/>
              <w:rPr>
                <w:rFonts w:ascii="新細明體" w:hAnsi="新細明體"/>
                <w:sz w:val="20"/>
              </w:rPr>
            </w:pPr>
            <w:r w:rsidRPr="00C06EA8">
              <w:rPr>
                <w:rFonts w:ascii="新細明體" w:hAnsi="新細明體" w:hint="eastAsia"/>
                <w:sz w:val="20"/>
              </w:rPr>
              <w:t>出處／時間</w:t>
            </w:r>
          </w:p>
        </w:tc>
        <w:tc>
          <w:tcPr>
            <w:tcW w:w="3244" w:type="dxa"/>
            <w:tcBorders>
              <w:top w:val="single" w:sz="8" w:space="0" w:color="auto"/>
              <w:bottom w:val="single" w:sz="4" w:space="0" w:color="auto"/>
            </w:tcBorders>
            <w:shd w:val="clear" w:color="auto" w:fill="auto"/>
            <w:vAlign w:val="center"/>
          </w:tcPr>
          <w:p w:rsidR="00A871E8" w:rsidRPr="00C06EA8" w:rsidRDefault="00A871E8" w:rsidP="003B17B9">
            <w:pPr>
              <w:pStyle w:val="Table-"/>
              <w:rPr>
                <w:rFonts w:ascii="新細明體" w:hAnsi="新細明體"/>
                <w:sz w:val="20"/>
              </w:rPr>
            </w:pPr>
            <w:r w:rsidRPr="00C06EA8">
              <w:rPr>
                <w:rFonts w:ascii="新細明體" w:hAnsi="新細明體" w:hint="eastAsia"/>
                <w:sz w:val="20"/>
              </w:rPr>
              <w:t>內容</w:t>
            </w:r>
          </w:p>
        </w:tc>
      </w:tr>
      <w:tr w:rsidR="00A871E8" w:rsidRPr="00C06EA8" w:rsidTr="00D846F0">
        <w:trPr>
          <w:trHeight w:val="188"/>
        </w:trPr>
        <w:tc>
          <w:tcPr>
            <w:tcW w:w="1604" w:type="dxa"/>
            <w:tcBorders>
              <w:top w:val="single" w:sz="4" w:space="0" w:color="auto"/>
            </w:tcBorders>
            <w:shd w:val="clear" w:color="auto" w:fill="auto"/>
          </w:tcPr>
          <w:p w:rsidR="00A871E8" w:rsidRPr="00C06EA8" w:rsidRDefault="00A871E8" w:rsidP="00D846F0">
            <w:pPr>
              <w:pStyle w:val="15Tabletext"/>
              <w:rPr>
                <w:rFonts w:ascii="新細明體" w:hAnsi="新細明體"/>
                <w:szCs w:val="20"/>
              </w:rPr>
            </w:pPr>
            <w:proofErr w:type="gramStart"/>
            <w:r w:rsidRPr="00C06EA8">
              <w:rPr>
                <w:szCs w:val="20"/>
              </w:rPr>
              <w:t>Keller</w:t>
            </w:r>
            <w:r w:rsidRPr="00C06EA8">
              <w:rPr>
                <w:rFonts w:ascii="新細明體" w:hAnsi="新細明體" w:hint="eastAsia"/>
                <w:szCs w:val="20"/>
              </w:rPr>
              <w:t>(</w:t>
            </w:r>
            <w:proofErr w:type="gramEnd"/>
            <w:r w:rsidRPr="00C06EA8">
              <w:rPr>
                <w:rFonts w:ascii="新細明體" w:hAnsi="新細明體" w:hint="eastAsia"/>
                <w:szCs w:val="20"/>
              </w:rPr>
              <w:t>1993)[</w:t>
            </w:r>
            <w:r w:rsidR="007F0405" w:rsidRPr="00C06EA8">
              <w:rPr>
                <w:rFonts w:ascii="新細明體" w:hAnsi="新細明體"/>
                <w:szCs w:val="20"/>
              </w:rPr>
              <w:fldChar w:fldCharType="begin"/>
            </w:r>
            <w:r w:rsidR="007F0405" w:rsidRPr="00C06EA8">
              <w:rPr>
                <w:rFonts w:ascii="新細明體" w:hAnsi="新細明體"/>
                <w:szCs w:val="20"/>
              </w:rPr>
              <w:instrText xml:space="preserve"> </w:instrText>
            </w:r>
            <w:r w:rsidR="007F0405" w:rsidRPr="00C06EA8">
              <w:rPr>
                <w:rFonts w:ascii="新細明體" w:hAnsi="新細明體" w:hint="eastAsia"/>
                <w:szCs w:val="20"/>
              </w:rPr>
              <w:instrText>REF _Ref70657210 \r \h</w:instrText>
            </w:r>
            <w:r w:rsidR="007F0405" w:rsidRPr="00C06EA8">
              <w:rPr>
                <w:rFonts w:ascii="新細明體" w:hAnsi="新細明體"/>
                <w:szCs w:val="20"/>
              </w:rPr>
              <w:instrText xml:space="preserve"> </w:instrText>
            </w:r>
            <w:r w:rsidR="00976502" w:rsidRPr="00C06EA8">
              <w:rPr>
                <w:rFonts w:ascii="新細明體" w:hAnsi="新細明體"/>
                <w:szCs w:val="20"/>
              </w:rPr>
              <w:instrText xml:space="preserve"> \* MERGEFORMAT </w:instrText>
            </w:r>
            <w:r w:rsidR="007F0405" w:rsidRPr="00C06EA8">
              <w:rPr>
                <w:rFonts w:ascii="新細明體" w:hAnsi="新細明體"/>
                <w:szCs w:val="20"/>
              </w:rPr>
            </w:r>
            <w:r w:rsidR="007F0405" w:rsidRPr="00C06EA8">
              <w:rPr>
                <w:rFonts w:ascii="新細明體" w:hAnsi="新細明體"/>
                <w:szCs w:val="20"/>
              </w:rPr>
              <w:fldChar w:fldCharType="separate"/>
            </w:r>
            <w:r w:rsidR="00C22847" w:rsidRPr="00C06EA8">
              <w:rPr>
                <w:rFonts w:ascii="新細明體" w:hAnsi="新細明體"/>
                <w:szCs w:val="20"/>
              </w:rPr>
              <w:t>21</w:t>
            </w:r>
            <w:r w:rsidR="007F0405" w:rsidRPr="00C06EA8">
              <w:rPr>
                <w:rFonts w:ascii="新細明體" w:hAnsi="新細明體"/>
                <w:szCs w:val="20"/>
              </w:rPr>
              <w:fldChar w:fldCharType="end"/>
            </w:r>
            <w:r w:rsidRPr="00C06EA8">
              <w:rPr>
                <w:rFonts w:ascii="新細明體" w:hAnsi="新細明體" w:hint="eastAsia"/>
                <w:szCs w:val="20"/>
              </w:rPr>
              <w:t>]</w:t>
            </w:r>
          </w:p>
        </w:tc>
        <w:tc>
          <w:tcPr>
            <w:tcW w:w="3244" w:type="dxa"/>
            <w:tcBorders>
              <w:top w:val="single" w:sz="4" w:space="0" w:color="auto"/>
            </w:tcBorders>
            <w:shd w:val="clear" w:color="auto" w:fill="auto"/>
          </w:tcPr>
          <w:p w:rsidR="00A871E8" w:rsidRPr="00C06EA8" w:rsidRDefault="00A871E8" w:rsidP="00D846F0">
            <w:pPr>
              <w:pStyle w:val="15Tabletext"/>
              <w:rPr>
                <w:rFonts w:ascii="新細明體" w:hAnsi="新細明體"/>
                <w:szCs w:val="20"/>
              </w:rPr>
            </w:pPr>
            <w:r w:rsidRPr="00C06EA8">
              <w:rPr>
                <w:rFonts w:ascii="新細明體" w:hAnsi="新細明體"/>
                <w:szCs w:val="20"/>
              </w:rPr>
              <w:t>當消費者選擇產品</w:t>
            </w:r>
            <w:r w:rsidRPr="00C06EA8">
              <w:rPr>
                <w:rFonts w:ascii="新細明體" w:hAnsi="新細明體" w:hint="eastAsia"/>
                <w:szCs w:val="20"/>
              </w:rPr>
              <w:t>和服務時，如果  有對某品牌或企業具</w:t>
            </w:r>
            <w:r w:rsidR="00EC73E8" w:rsidRPr="00C06EA8">
              <w:rPr>
                <w:rFonts w:ascii="新細明體" w:hAnsi="新細明體" w:hint="eastAsia"/>
                <w:szCs w:val="20"/>
              </w:rPr>
              <w:t>相對</w:t>
            </w:r>
            <w:r w:rsidRPr="00C06EA8">
              <w:rPr>
                <w:rFonts w:ascii="新細明體" w:hAnsi="新細明體" w:hint="eastAsia"/>
                <w:szCs w:val="20"/>
              </w:rPr>
              <w:t>較高的熟悉度，產生品牌聯想，相對的就會擁有較高的購買意願。</w:t>
            </w:r>
          </w:p>
        </w:tc>
      </w:tr>
      <w:tr w:rsidR="00A871E8" w:rsidRPr="00C06EA8" w:rsidTr="00D846F0">
        <w:trPr>
          <w:trHeight w:val="488"/>
        </w:trPr>
        <w:tc>
          <w:tcPr>
            <w:tcW w:w="1604" w:type="dxa"/>
            <w:shd w:val="clear" w:color="auto" w:fill="auto"/>
          </w:tcPr>
          <w:p w:rsidR="00A871E8" w:rsidRPr="00C06EA8" w:rsidRDefault="00A871E8" w:rsidP="00D846F0">
            <w:pPr>
              <w:pStyle w:val="15Tabletext"/>
              <w:rPr>
                <w:rFonts w:ascii="新細明體" w:hAnsi="新細明體"/>
                <w:szCs w:val="20"/>
              </w:rPr>
            </w:pPr>
            <w:proofErr w:type="gramStart"/>
            <w:r w:rsidRPr="00C06EA8">
              <w:rPr>
                <w:szCs w:val="20"/>
              </w:rPr>
              <w:t>Zeithaml</w:t>
            </w:r>
            <w:r w:rsidRPr="00C06EA8">
              <w:rPr>
                <w:rFonts w:ascii="新細明體" w:hAnsi="新細明體" w:hint="eastAsia"/>
                <w:szCs w:val="20"/>
              </w:rPr>
              <w:t>(</w:t>
            </w:r>
            <w:proofErr w:type="gramEnd"/>
            <w:r w:rsidRPr="00C06EA8">
              <w:rPr>
                <w:rFonts w:ascii="新細明體" w:hAnsi="新細明體"/>
                <w:szCs w:val="20"/>
              </w:rPr>
              <w:t>1988)</w:t>
            </w:r>
            <w:r w:rsidRPr="00C06EA8">
              <w:rPr>
                <w:rFonts w:ascii="新細明體" w:hAnsi="新細明體" w:hint="eastAsia"/>
                <w:szCs w:val="20"/>
              </w:rPr>
              <w:t>[</w:t>
            </w:r>
            <w:r w:rsidR="007F0405" w:rsidRPr="00C06EA8">
              <w:rPr>
                <w:rFonts w:ascii="新細明體" w:hAnsi="新細明體"/>
                <w:szCs w:val="20"/>
              </w:rPr>
              <w:fldChar w:fldCharType="begin"/>
            </w:r>
            <w:r w:rsidR="007F0405" w:rsidRPr="00C06EA8">
              <w:rPr>
                <w:rFonts w:ascii="新細明體" w:hAnsi="新細明體"/>
                <w:szCs w:val="20"/>
              </w:rPr>
              <w:instrText xml:space="preserve"> </w:instrText>
            </w:r>
            <w:r w:rsidR="007F0405" w:rsidRPr="00C06EA8">
              <w:rPr>
                <w:rFonts w:ascii="新細明體" w:hAnsi="新細明體" w:hint="eastAsia"/>
                <w:szCs w:val="20"/>
              </w:rPr>
              <w:instrText>REF _Ref59222429 \r \h</w:instrText>
            </w:r>
            <w:r w:rsidR="007F0405" w:rsidRPr="00C06EA8">
              <w:rPr>
                <w:rFonts w:ascii="新細明體" w:hAnsi="新細明體"/>
                <w:szCs w:val="20"/>
              </w:rPr>
              <w:instrText xml:space="preserve"> </w:instrText>
            </w:r>
            <w:r w:rsidR="00976502" w:rsidRPr="00C06EA8">
              <w:rPr>
                <w:rFonts w:ascii="新細明體" w:hAnsi="新細明體"/>
                <w:szCs w:val="20"/>
              </w:rPr>
              <w:instrText xml:space="preserve"> \* MERGEFORMAT </w:instrText>
            </w:r>
            <w:r w:rsidR="007F0405" w:rsidRPr="00C06EA8">
              <w:rPr>
                <w:rFonts w:ascii="新細明體" w:hAnsi="新細明體"/>
                <w:szCs w:val="20"/>
              </w:rPr>
            </w:r>
            <w:r w:rsidR="007F0405" w:rsidRPr="00C06EA8">
              <w:rPr>
                <w:rFonts w:ascii="新細明體" w:hAnsi="新細明體"/>
                <w:szCs w:val="20"/>
              </w:rPr>
              <w:fldChar w:fldCharType="separate"/>
            </w:r>
            <w:r w:rsidR="00C22847" w:rsidRPr="00C06EA8">
              <w:rPr>
                <w:rFonts w:ascii="新細明體" w:hAnsi="新細明體"/>
                <w:szCs w:val="20"/>
              </w:rPr>
              <w:t>22</w:t>
            </w:r>
            <w:r w:rsidR="007F0405" w:rsidRPr="00C06EA8">
              <w:rPr>
                <w:rFonts w:ascii="新細明體" w:hAnsi="新細明體"/>
                <w:szCs w:val="20"/>
              </w:rPr>
              <w:fldChar w:fldCharType="end"/>
            </w:r>
            <w:r w:rsidRPr="00C06EA8">
              <w:rPr>
                <w:rFonts w:ascii="新細明體" w:hAnsi="新細明體" w:hint="eastAsia"/>
                <w:szCs w:val="20"/>
              </w:rPr>
              <w:t>]</w:t>
            </w:r>
          </w:p>
        </w:tc>
        <w:tc>
          <w:tcPr>
            <w:tcW w:w="3244" w:type="dxa"/>
            <w:shd w:val="clear" w:color="auto" w:fill="auto"/>
            <w:vAlign w:val="center"/>
          </w:tcPr>
          <w:p w:rsidR="00A871E8" w:rsidRPr="00C06EA8" w:rsidRDefault="00A871E8" w:rsidP="00D846F0">
            <w:pPr>
              <w:pStyle w:val="15Tabletext"/>
              <w:rPr>
                <w:rFonts w:ascii="新細明體" w:hAnsi="新細明體"/>
                <w:szCs w:val="20"/>
              </w:rPr>
            </w:pPr>
            <w:r w:rsidRPr="00C06EA8">
              <w:rPr>
                <w:rFonts w:ascii="新細明體" w:hAnsi="新細明體" w:hint="eastAsia"/>
                <w:szCs w:val="20"/>
              </w:rPr>
              <w:t>消費者與知覺價值有正向關係，消費者對產品和服務的知覺價值高，購買意願也會越高，高低取決於從產品和服務中所獲得的價值和利益</w:t>
            </w:r>
          </w:p>
        </w:tc>
      </w:tr>
      <w:tr w:rsidR="00A871E8" w:rsidRPr="00C06EA8" w:rsidTr="00D846F0">
        <w:trPr>
          <w:trHeight w:val="197"/>
        </w:trPr>
        <w:tc>
          <w:tcPr>
            <w:tcW w:w="1604" w:type="dxa"/>
            <w:shd w:val="clear" w:color="auto" w:fill="auto"/>
          </w:tcPr>
          <w:p w:rsidR="00A871E8" w:rsidRPr="00C06EA8" w:rsidRDefault="00A871E8" w:rsidP="00D846F0">
            <w:pPr>
              <w:pStyle w:val="15Tabletext"/>
              <w:rPr>
                <w:rFonts w:ascii="新細明體" w:hAnsi="新細明體"/>
                <w:szCs w:val="20"/>
              </w:rPr>
            </w:pPr>
            <w:r w:rsidRPr="00C06EA8">
              <w:rPr>
                <w:rFonts w:ascii="新細明體" w:hAnsi="新細明體" w:hint="eastAsia"/>
                <w:szCs w:val="20"/>
              </w:rPr>
              <w:t>王志剛、謝文雀(1995</w:t>
            </w:r>
            <w:r w:rsidRPr="00C06EA8">
              <w:rPr>
                <w:rFonts w:ascii="新細明體" w:hAnsi="新細明體"/>
                <w:szCs w:val="20"/>
              </w:rPr>
              <w:t>)</w:t>
            </w:r>
            <w:r w:rsidRPr="00C06EA8">
              <w:rPr>
                <w:rFonts w:ascii="新細明體" w:hAnsi="新細明體" w:hint="eastAsia"/>
                <w:szCs w:val="20"/>
              </w:rPr>
              <w:t>[</w:t>
            </w:r>
            <w:r w:rsidR="00E60409" w:rsidRPr="00C06EA8">
              <w:rPr>
                <w:rFonts w:ascii="新細明體" w:hAnsi="新細明體"/>
                <w:szCs w:val="20"/>
              </w:rPr>
              <w:fldChar w:fldCharType="begin"/>
            </w:r>
            <w:r w:rsidR="00E60409" w:rsidRPr="00C06EA8">
              <w:rPr>
                <w:rFonts w:ascii="新細明體" w:hAnsi="新細明體"/>
                <w:szCs w:val="20"/>
              </w:rPr>
              <w:instrText xml:space="preserve"> </w:instrText>
            </w:r>
            <w:r w:rsidR="00E60409" w:rsidRPr="00C06EA8">
              <w:rPr>
                <w:rFonts w:ascii="新細明體" w:hAnsi="新細明體" w:hint="eastAsia"/>
                <w:szCs w:val="20"/>
              </w:rPr>
              <w:instrText>REF _Ref70657221 \r \h</w:instrText>
            </w:r>
            <w:r w:rsidR="00E60409" w:rsidRPr="00C06EA8">
              <w:rPr>
                <w:rFonts w:ascii="新細明體" w:hAnsi="新細明體"/>
                <w:szCs w:val="20"/>
              </w:rPr>
              <w:instrText xml:space="preserve"> </w:instrText>
            </w:r>
            <w:r w:rsidR="00976502" w:rsidRPr="00C06EA8">
              <w:rPr>
                <w:rFonts w:ascii="新細明體" w:hAnsi="新細明體"/>
                <w:szCs w:val="20"/>
              </w:rPr>
              <w:instrText xml:space="preserve"> \* MERGEFORMAT </w:instrText>
            </w:r>
            <w:r w:rsidR="00E60409" w:rsidRPr="00C06EA8">
              <w:rPr>
                <w:rFonts w:ascii="新細明體" w:hAnsi="新細明體"/>
                <w:szCs w:val="20"/>
              </w:rPr>
            </w:r>
            <w:r w:rsidR="00E60409" w:rsidRPr="00C06EA8">
              <w:rPr>
                <w:rFonts w:ascii="新細明體" w:hAnsi="新細明體"/>
                <w:szCs w:val="20"/>
              </w:rPr>
              <w:fldChar w:fldCharType="separate"/>
            </w:r>
            <w:r w:rsidR="00C22847" w:rsidRPr="00C06EA8">
              <w:rPr>
                <w:rFonts w:ascii="新細明體" w:hAnsi="新細明體"/>
                <w:szCs w:val="20"/>
              </w:rPr>
              <w:t>23</w:t>
            </w:r>
            <w:r w:rsidR="00E60409" w:rsidRPr="00C06EA8">
              <w:rPr>
                <w:rFonts w:ascii="新細明體" w:hAnsi="新細明體"/>
                <w:szCs w:val="20"/>
              </w:rPr>
              <w:fldChar w:fldCharType="end"/>
            </w:r>
            <w:r w:rsidRPr="00C06EA8">
              <w:rPr>
                <w:rFonts w:ascii="新細明體" w:hAnsi="新細明體" w:hint="eastAsia"/>
                <w:szCs w:val="20"/>
              </w:rPr>
              <w:t>]</w:t>
            </w:r>
          </w:p>
        </w:tc>
        <w:tc>
          <w:tcPr>
            <w:tcW w:w="3244" w:type="dxa"/>
            <w:shd w:val="clear" w:color="auto" w:fill="auto"/>
          </w:tcPr>
          <w:p w:rsidR="00A871E8" w:rsidRPr="00C06EA8" w:rsidRDefault="00A871E8" w:rsidP="00D846F0">
            <w:pPr>
              <w:pStyle w:val="15Tabletext"/>
              <w:rPr>
                <w:rFonts w:ascii="新細明體" w:hAnsi="新細明體"/>
                <w:szCs w:val="20"/>
              </w:rPr>
            </w:pPr>
            <w:r w:rsidRPr="00C06EA8">
              <w:rPr>
                <w:rFonts w:ascii="新細明體" w:hAnsi="新細明體" w:hint="eastAsia"/>
                <w:szCs w:val="20"/>
              </w:rPr>
              <w:t>指出當購買方式的不同，也會使得消費者的購買意願產生差別。</w:t>
            </w:r>
          </w:p>
        </w:tc>
      </w:tr>
    </w:tbl>
    <w:p w:rsidR="00EC73E8" w:rsidRPr="00AF33DD" w:rsidRDefault="00EC73E8" w:rsidP="00EC73E8">
      <w:pPr>
        <w:pStyle w:val="12Text"/>
      </w:pPr>
      <w:r w:rsidRPr="00AF33DD">
        <w:rPr>
          <w:rFonts w:hint="eastAsia"/>
        </w:rPr>
        <w:t>根據</w:t>
      </w:r>
      <w:r w:rsidR="00E60409" w:rsidRPr="00C06EA8">
        <w:rPr>
          <w:rFonts w:ascii="新細明體" w:hAnsi="新細明體"/>
          <w:szCs w:val="20"/>
        </w:rPr>
        <w:fldChar w:fldCharType="begin"/>
      </w:r>
      <w:r w:rsidR="00E60409" w:rsidRPr="00C06EA8">
        <w:rPr>
          <w:rFonts w:ascii="新細明體" w:hAnsi="新細明體"/>
          <w:szCs w:val="20"/>
        </w:rPr>
        <w:instrText xml:space="preserve"> </w:instrText>
      </w:r>
      <w:r w:rsidR="00E60409" w:rsidRPr="00C06EA8">
        <w:rPr>
          <w:rFonts w:ascii="新細明體" w:hAnsi="新細明體" w:hint="eastAsia"/>
          <w:szCs w:val="20"/>
        </w:rPr>
        <w:instrText>REF _Ref70659853 \h</w:instrText>
      </w:r>
      <w:r w:rsidR="00E60409" w:rsidRPr="00C06EA8">
        <w:rPr>
          <w:rFonts w:ascii="新細明體" w:hAnsi="新細明體"/>
          <w:szCs w:val="20"/>
        </w:rPr>
        <w:instrText xml:space="preserve"> </w:instrText>
      </w:r>
      <w:r w:rsidR="00C06EA8" w:rsidRPr="00C06EA8">
        <w:rPr>
          <w:rFonts w:ascii="新細明體" w:hAnsi="新細明體"/>
          <w:szCs w:val="20"/>
        </w:rPr>
        <w:instrText xml:space="preserve"> \* MERGEFORMAT </w:instrText>
      </w:r>
      <w:r w:rsidR="00E60409" w:rsidRPr="00C06EA8">
        <w:rPr>
          <w:rFonts w:ascii="新細明體" w:hAnsi="新細明體"/>
          <w:szCs w:val="20"/>
        </w:rPr>
      </w:r>
      <w:r w:rsidR="00E60409" w:rsidRPr="00C06EA8">
        <w:rPr>
          <w:rFonts w:ascii="新細明體" w:hAnsi="新細明體"/>
          <w:szCs w:val="20"/>
        </w:rPr>
        <w:fldChar w:fldCharType="separate"/>
      </w:r>
      <w:r w:rsidR="00C22847" w:rsidRPr="00C06EA8">
        <w:rPr>
          <w:rFonts w:ascii="新細明體" w:hAnsi="新細明體" w:hint="eastAsia"/>
          <w:szCs w:val="20"/>
        </w:rPr>
        <w:t xml:space="preserve">表 </w:t>
      </w:r>
      <w:r w:rsidR="00C22847" w:rsidRPr="00C06EA8">
        <w:rPr>
          <w:rFonts w:ascii="新細明體" w:hAnsi="新細明體"/>
          <w:noProof/>
          <w:szCs w:val="20"/>
        </w:rPr>
        <w:t>1</w:t>
      </w:r>
      <w:r w:rsidR="00E60409" w:rsidRPr="00C06EA8">
        <w:rPr>
          <w:rFonts w:ascii="新細明體" w:hAnsi="新細明體"/>
          <w:szCs w:val="20"/>
        </w:rPr>
        <w:fldChar w:fldCharType="end"/>
      </w:r>
      <w:r w:rsidRPr="00AF33DD">
        <w:rPr>
          <w:rFonts w:hint="eastAsia"/>
        </w:rPr>
        <w:t>上述學者對於購買意願的探討，發現特性與構面也有很多不同，本研究依究整理出三位學者的研究理論。</w:t>
      </w:r>
    </w:p>
    <w:p w:rsidR="00EC73E8" w:rsidRPr="00AF33DD" w:rsidRDefault="00EC73E8" w:rsidP="00EC73E8">
      <w:pPr>
        <w:pStyle w:val="12Text"/>
      </w:pPr>
      <w:r w:rsidRPr="00C06EA8">
        <w:rPr>
          <w:szCs w:val="20"/>
        </w:rPr>
        <w:t>Bearden, Lichtenstein, and Teel</w:t>
      </w:r>
      <w:r w:rsidRPr="00AF33DD">
        <w:rPr>
          <w:rFonts w:hint="eastAsia"/>
        </w:rPr>
        <w:t xml:space="preserve"> (1984)[</w:t>
      </w:r>
      <w:r w:rsidR="007F0405" w:rsidRPr="00C06EA8">
        <w:rPr>
          <w:rFonts w:ascii="新細明體" w:hAnsi="新細明體"/>
          <w:szCs w:val="20"/>
        </w:rPr>
        <w:fldChar w:fldCharType="begin"/>
      </w:r>
      <w:r w:rsidR="007F0405" w:rsidRPr="00C06EA8">
        <w:rPr>
          <w:rFonts w:ascii="新細明體" w:hAnsi="新細明體"/>
          <w:szCs w:val="20"/>
        </w:rPr>
        <w:instrText xml:space="preserve"> </w:instrText>
      </w:r>
      <w:r w:rsidR="007F0405" w:rsidRPr="00C06EA8">
        <w:rPr>
          <w:rFonts w:ascii="新細明體" w:hAnsi="新細明體" w:hint="eastAsia"/>
          <w:szCs w:val="20"/>
        </w:rPr>
        <w:instrText>REF _Ref59155309 \r \h</w:instrText>
      </w:r>
      <w:r w:rsidR="007F0405" w:rsidRPr="00C06EA8">
        <w:rPr>
          <w:rFonts w:ascii="新細明體" w:hAnsi="新細明體"/>
          <w:szCs w:val="20"/>
        </w:rPr>
        <w:instrText xml:space="preserve"> </w:instrText>
      </w:r>
      <w:r w:rsidR="00C06EA8" w:rsidRPr="00C06EA8">
        <w:rPr>
          <w:rFonts w:ascii="新細明體" w:hAnsi="新細明體"/>
          <w:szCs w:val="20"/>
        </w:rPr>
        <w:instrText xml:space="preserve"> \* MERGEFORMAT </w:instrText>
      </w:r>
      <w:r w:rsidR="007F0405" w:rsidRPr="00C06EA8">
        <w:rPr>
          <w:rFonts w:ascii="新細明體" w:hAnsi="新細明體"/>
          <w:szCs w:val="20"/>
        </w:rPr>
      </w:r>
      <w:r w:rsidR="007F0405" w:rsidRPr="00C06EA8">
        <w:rPr>
          <w:rFonts w:ascii="新細明體" w:hAnsi="新細明體"/>
          <w:szCs w:val="20"/>
        </w:rPr>
        <w:fldChar w:fldCharType="separate"/>
      </w:r>
      <w:r w:rsidR="00C22847" w:rsidRPr="00C06EA8">
        <w:rPr>
          <w:rFonts w:ascii="新細明體" w:hAnsi="新細明體"/>
          <w:szCs w:val="20"/>
        </w:rPr>
        <w:t>24</w:t>
      </w:r>
      <w:r w:rsidR="007F0405" w:rsidRPr="00C06EA8">
        <w:rPr>
          <w:rFonts w:ascii="新細明體" w:hAnsi="新細明體"/>
          <w:szCs w:val="20"/>
        </w:rPr>
        <w:fldChar w:fldCharType="end"/>
      </w:r>
      <w:r w:rsidRPr="00AF33DD">
        <w:rPr>
          <w:rFonts w:hint="eastAsia"/>
        </w:rPr>
        <w:t>]</w:t>
      </w:r>
      <w:r w:rsidRPr="00AF33DD">
        <w:rPr>
          <w:rFonts w:hint="eastAsia"/>
        </w:rPr>
        <w:t>以下列四種構面衡量消費者的購買意願</w:t>
      </w:r>
      <w:r w:rsidRPr="00AF33DD">
        <w:rPr>
          <w:rFonts w:hint="eastAsia"/>
        </w:rPr>
        <w:t>:</w:t>
      </w:r>
    </w:p>
    <w:p w:rsidR="00EC73E8" w:rsidRPr="00C06EA8" w:rsidRDefault="00EC73E8" w:rsidP="00E17E76">
      <w:pPr>
        <w:pStyle w:val="12Textleft"/>
        <w:numPr>
          <w:ilvl w:val="0"/>
          <w:numId w:val="46"/>
        </w:numPr>
        <w:spacing w:afterLines="6" w:after="21"/>
        <w:ind w:left="482" w:hanging="482"/>
        <w:rPr>
          <w:rFonts w:ascii="新細明體"/>
          <w:szCs w:val="20"/>
        </w:rPr>
      </w:pPr>
      <w:r w:rsidRPr="00C06EA8">
        <w:rPr>
          <w:rFonts w:ascii="新細明體" w:hint="eastAsia"/>
          <w:szCs w:val="20"/>
        </w:rPr>
        <w:t>我想購買此產品或服務</w:t>
      </w:r>
    </w:p>
    <w:p w:rsidR="00EC73E8" w:rsidRPr="00C06EA8" w:rsidRDefault="00F022DF" w:rsidP="00E17E76">
      <w:pPr>
        <w:pStyle w:val="12Textleft"/>
        <w:numPr>
          <w:ilvl w:val="0"/>
          <w:numId w:val="46"/>
        </w:numPr>
        <w:spacing w:afterLines="6" w:after="21"/>
        <w:ind w:left="482" w:hanging="482"/>
        <w:rPr>
          <w:rFonts w:ascii="新細明體"/>
          <w:szCs w:val="20"/>
        </w:rPr>
      </w:pPr>
      <w:r w:rsidRPr="00C06EA8">
        <w:rPr>
          <w:rFonts w:ascii="新細明體" w:hint="eastAsia"/>
          <w:szCs w:val="20"/>
        </w:rPr>
        <w:t>我可能會想購買此產品或服務</w:t>
      </w:r>
    </w:p>
    <w:p w:rsidR="00EC73E8" w:rsidRPr="00C06EA8" w:rsidRDefault="00F022DF" w:rsidP="00E17E76">
      <w:pPr>
        <w:pStyle w:val="12Textleft"/>
        <w:numPr>
          <w:ilvl w:val="0"/>
          <w:numId w:val="46"/>
        </w:numPr>
        <w:spacing w:afterLines="6" w:after="21"/>
        <w:ind w:left="482" w:hanging="482"/>
        <w:rPr>
          <w:rFonts w:ascii="新細明體"/>
          <w:szCs w:val="20"/>
        </w:rPr>
      </w:pPr>
      <w:r w:rsidRPr="00C06EA8">
        <w:rPr>
          <w:rFonts w:ascii="新細明體" w:hint="eastAsia"/>
          <w:szCs w:val="20"/>
        </w:rPr>
        <w:t>我認為此產品或服務是值得購買的</w:t>
      </w:r>
    </w:p>
    <w:p w:rsidR="00EC73E8" w:rsidRPr="00C06EA8" w:rsidRDefault="00F022DF" w:rsidP="00E17E76">
      <w:pPr>
        <w:pStyle w:val="12Textleft"/>
        <w:numPr>
          <w:ilvl w:val="0"/>
          <w:numId w:val="46"/>
        </w:numPr>
        <w:spacing w:afterLines="6" w:after="21"/>
        <w:ind w:left="482" w:hanging="482"/>
        <w:rPr>
          <w:rFonts w:ascii="新細明體"/>
          <w:szCs w:val="20"/>
        </w:rPr>
      </w:pPr>
      <w:r w:rsidRPr="00C06EA8">
        <w:rPr>
          <w:rFonts w:ascii="新細明體" w:hint="eastAsia"/>
          <w:szCs w:val="20"/>
        </w:rPr>
        <w:t>我會向他人或朋友推薦此產品或服務</w:t>
      </w:r>
    </w:p>
    <w:p w:rsidR="00EC73E8" w:rsidRPr="00AF33DD" w:rsidRDefault="00EC73E8" w:rsidP="00EC73E8">
      <w:pPr>
        <w:pStyle w:val="12Text"/>
      </w:pPr>
      <w:proofErr w:type="spellStart"/>
      <w:r w:rsidRPr="00C06EA8">
        <w:rPr>
          <w:szCs w:val="20"/>
        </w:rPr>
        <w:lastRenderedPageBreak/>
        <w:t>Sirohi</w:t>
      </w:r>
      <w:proofErr w:type="spellEnd"/>
      <w:r w:rsidRPr="00C06EA8">
        <w:rPr>
          <w:szCs w:val="20"/>
        </w:rPr>
        <w:t xml:space="preserve">, Mclaughlin &amp; </w:t>
      </w:r>
      <w:proofErr w:type="spellStart"/>
      <w:r w:rsidRPr="00C06EA8">
        <w:rPr>
          <w:szCs w:val="20"/>
        </w:rPr>
        <w:t>Wittink</w:t>
      </w:r>
      <w:proofErr w:type="spellEnd"/>
      <w:r w:rsidRPr="00AF33DD">
        <w:rPr>
          <w:rFonts w:hint="eastAsia"/>
        </w:rPr>
        <w:t>(1998)[</w:t>
      </w:r>
      <w:r w:rsidR="007F0405" w:rsidRPr="00C06EA8">
        <w:rPr>
          <w:rFonts w:ascii="新細明體" w:hAnsi="新細明體"/>
          <w:szCs w:val="20"/>
        </w:rPr>
        <w:fldChar w:fldCharType="begin"/>
      </w:r>
      <w:r w:rsidR="007F0405" w:rsidRPr="00C06EA8">
        <w:rPr>
          <w:rFonts w:ascii="新細明體" w:hAnsi="新細明體"/>
          <w:szCs w:val="20"/>
        </w:rPr>
        <w:instrText xml:space="preserve"> </w:instrText>
      </w:r>
      <w:r w:rsidR="007F0405" w:rsidRPr="00C06EA8">
        <w:rPr>
          <w:rFonts w:ascii="新細明體" w:hAnsi="新細明體" w:hint="eastAsia"/>
          <w:szCs w:val="20"/>
        </w:rPr>
        <w:instrText>REF _Ref59155322 \r \h</w:instrText>
      </w:r>
      <w:r w:rsidR="007F0405" w:rsidRPr="00C06EA8">
        <w:rPr>
          <w:rFonts w:ascii="新細明體" w:hAnsi="新細明體"/>
          <w:szCs w:val="20"/>
        </w:rPr>
        <w:instrText xml:space="preserve"> </w:instrText>
      </w:r>
      <w:r w:rsidR="00C06EA8" w:rsidRPr="00C06EA8">
        <w:rPr>
          <w:rFonts w:ascii="新細明體" w:hAnsi="新細明體"/>
          <w:szCs w:val="20"/>
        </w:rPr>
        <w:instrText xml:space="preserve"> \* MERGEFORMAT </w:instrText>
      </w:r>
      <w:r w:rsidR="007F0405" w:rsidRPr="00C06EA8">
        <w:rPr>
          <w:rFonts w:ascii="新細明體" w:hAnsi="新細明體"/>
          <w:szCs w:val="20"/>
        </w:rPr>
      </w:r>
      <w:r w:rsidR="007F0405" w:rsidRPr="00C06EA8">
        <w:rPr>
          <w:rFonts w:ascii="新細明體" w:hAnsi="新細明體"/>
          <w:szCs w:val="20"/>
        </w:rPr>
        <w:fldChar w:fldCharType="separate"/>
      </w:r>
      <w:r w:rsidR="00C22847" w:rsidRPr="00C06EA8">
        <w:rPr>
          <w:rFonts w:ascii="新細明體" w:hAnsi="新細明體"/>
          <w:szCs w:val="20"/>
        </w:rPr>
        <w:t>25</w:t>
      </w:r>
      <w:r w:rsidR="007F0405" w:rsidRPr="00C06EA8">
        <w:rPr>
          <w:rFonts w:ascii="新細明體" w:hAnsi="新細明體"/>
          <w:szCs w:val="20"/>
        </w:rPr>
        <w:fldChar w:fldCharType="end"/>
      </w:r>
      <w:r w:rsidRPr="00AF33DD">
        <w:rPr>
          <w:rFonts w:hint="eastAsia"/>
        </w:rPr>
        <w:t>]</w:t>
      </w:r>
      <w:r w:rsidRPr="00AF33DD">
        <w:rPr>
          <w:rFonts w:hint="eastAsia"/>
        </w:rPr>
        <w:t>對消費者之購買意願提出下列三種構面</w:t>
      </w:r>
      <w:r w:rsidRPr="00AF33DD">
        <w:rPr>
          <w:rFonts w:hint="eastAsia"/>
        </w:rPr>
        <w:t>:</w:t>
      </w:r>
    </w:p>
    <w:p w:rsidR="00EC73E8" w:rsidRPr="00C06EA8" w:rsidRDefault="00F022DF" w:rsidP="00E17E76">
      <w:pPr>
        <w:pStyle w:val="12Textleft"/>
        <w:numPr>
          <w:ilvl w:val="0"/>
          <w:numId w:val="48"/>
        </w:numPr>
        <w:spacing w:afterLines="6" w:after="21"/>
        <w:ind w:left="482" w:hanging="482"/>
        <w:rPr>
          <w:rFonts w:ascii="新細明體"/>
          <w:szCs w:val="20"/>
        </w:rPr>
      </w:pPr>
      <w:r w:rsidRPr="00C06EA8">
        <w:rPr>
          <w:rFonts w:ascii="新細明體" w:hint="eastAsia"/>
          <w:szCs w:val="20"/>
        </w:rPr>
        <w:t>再消費意願</w:t>
      </w:r>
    </w:p>
    <w:p w:rsidR="00EC73E8" w:rsidRPr="00C06EA8" w:rsidRDefault="00F022DF" w:rsidP="00E17E76">
      <w:pPr>
        <w:pStyle w:val="12Textleft"/>
        <w:numPr>
          <w:ilvl w:val="0"/>
          <w:numId w:val="48"/>
        </w:numPr>
        <w:spacing w:afterLines="6" w:after="21"/>
        <w:ind w:left="482" w:hanging="482"/>
        <w:rPr>
          <w:rFonts w:ascii="新細明體"/>
          <w:szCs w:val="20"/>
        </w:rPr>
      </w:pPr>
      <w:r w:rsidRPr="00C06EA8">
        <w:rPr>
          <w:rFonts w:ascii="新細明體" w:hint="eastAsia"/>
          <w:szCs w:val="20"/>
        </w:rPr>
        <w:t>未來購買更多產品之意願</w:t>
      </w:r>
    </w:p>
    <w:p w:rsidR="00EC73E8" w:rsidRPr="00C06EA8" w:rsidRDefault="00F022DF" w:rsidP="00E17E76">
      <w:pPr>
        <w:pStyle w:val="12Textleft"/>
        <w:numPr>
          <w:ilvl w:val="0"/>
          <w:numId w:val="48"/>
        </w:numPr>
        <w:spacing w:afterLines="6" w:after="21"/>
        <w:ind w:left="482" w:hanging="482"/>
        <w:rPr>
          <w:rFonts w:ascii="新細明體"/>
          <w:szCs w:val="20"/>
        </w:rPr>
      </w:pPr>
      <w:r w:rsidRPr="00C06EA8">
        <w:rPr>
          <w:rFonts w:ascii="新細明體" w:hint="eastAsia"/>
          <w:szCs w:val="20"/>
        </w:rPr>
        <w:t>與他人推薦之意願</w:t>
      </w:r>
    </w:p>
    <w:p w:rsidR="00EC73E8" w:rsidRPr="00AF33DD" w:rsidRDefault="00EC73E8" w:rsidP="00EC73E8">
      <w:pPr>
        <w:pStyle w:val="12Text"/>
      </w:pPr>
      <w:proofErr w:type="spellStart"/>
      <w:r w:rsidRPr="00C06EA8">
        <w:rPr>
          <w:szCs w:val="20"/>
        </w:rPr>
        <w:t>Dodds</w:t>
      </w:r>
      <w:proofErr w:type="spellEnd"/>
      <w:r w:rsidRPr="00C06EA8">
        <w:rPr>
          <w:szCs w:val="20"/>
        </w:rPr>
        <w:t xml:space="preserve"> et al. </w:t>
      </w:r>
      <w:r w:rsidRPr="00AF33DD">
        <w:t>(</w:t>
      </w:r>
      <w:proofErr w:type="gramStart"/>
      <w:r w:rsidRPr="00AF33DD">
        <w:t>1991)[</w:t>
      </w:r>
      <w:proofErr w:type="gramEnd"/>
      <w:r w:rsidR="007F0405" w:rsidRPr="00C06EA8">
        <w:rPr>
          <w:rFonts w:ascii="新細明體" w:hAnsi="新細明體"/>
          <w:szCs w:val="20"/>
        </w:rPr>
        <w:fldChar w:fldCharType="begin"/>
      </w:r>
      <w:r w:rsidR="007F0405" w:rsidRPr="00C06EA8">
        <w:rPr>
          <w:rFonts w:ascii="新細明體" w:hAnsi="新細明體"/>
          <w:szCs w:val="20"/>
        </w:rPr>
        <w:instrText xml:space="preserve"> REF _Ref59155335 \r \h </w:instrText>
      </w:r>
      <w:r w:rsidR="00C06EA8" w:rsidRPr="00C06EA8">
        <w:rPr>
          <w:rFonts w:ascii="新細明體" w:hAnsi="新細明體"/>
          <w:szCs w:val="20"/>
        </w:rPr>
        <w:instrText xml:space="preserve"> \* MERGEFORMAT </w:instrText>
      </w:r>
      <w:r w:rsidR="007F0405" w:rsidRPr="00C06EA8">
        <w:rPr>
          <w:rFonts w:ascii="新細明體" w:hAnsi="新細明體"/>
          <w:szCs w:val="20"/>
        </w:rPr>
      </w:r>
      <w:r w:rsidR="007F0405" w:rsidRPr="00C06EA8">
        <w:rPr>
          <w:rFonts w:ascii="新細明體" w:hAnsi="新細明體"/>
          <w:szCs w:val="20"/>
        </w:rPr>
        <w:fldChar w:fldCharType="separate"/>
      </w:r>
      <w:r w:rsidR="00C22847" w:rsidRPr="00C06EA8">
        <w:rPr>
          <w:rFonts w:ascii="新細明體" w:hAnsi="新細明體"/>
          <w:szCs w:val="20"/>
        </w:rPr>
        <w:t>26</w:t>
      </w:r>
      <w:r w:rsidR="007F0405" w:rsidRPr="00C06EA8">
        <w:rPr>
          <w:rFonts w:ascii="新細明體" w:hAnsi="新細明體"/>
          <w:szCs w:val="20"/>
        </w:rPr>
        <w:fldChar w:fldCharType="end"/>
      </w:r>
      <w:r w:rsidRPr="00AF33DD">
        <w:t>]</w:t>
      </w:r>
      <w:r w:rsidRPr="00AF33DD">
        <w:rPr>
          <w:rFonts w:hint="eastAsia"/>
        </w:rPr>
        <w:t>以下列五個構面來衡量消費者的購買意願：</w:t>
      </w:r>
    </w:p>
    <w:p w:rsidR="00EC73E8" w:rsidRPr="00C06EA8" w:rsidRDefault="00EC73E8" w:rsidP="00E17E76">
      <w:pPr>
        <w:pStyle w:val="12Textleft"/>
        <w:numPr>
          <w:ilvl w:val="0"/>
          <w:numId w:val="47"/>
        </w:numPr>
        <w:spacing w:afterLines="6" w:after="21"/>
        <w:ind w:left="482" w:hanging="482"/>
        <w:rPr>
          <w:rFonts w:ascii="新細明體"/>
          <w:szCs w:val="20"/>
        </w:rPr>
      </w:pPr>
      <w:r w:rsidRPr="00C06EA8">
        <w:rPr>
          <w:rFonts w:ascii="新細明體" w:hint="eastAsia"/>
          <w:szCs w:val="20"/>
        </w:rPr>
        <w:t>購買該產品或服務的可能性。</w:t>
      </w:r>
    </w:p>
    <w:p w:rsidR="00EC73E8" w:rsidRPr="00C06EA8" w:rsidRDefault="00EC73E8" w:rsidP="00E17E76">
      <w:pPr>
        <w:pStyle w:val="12Textleft"/>
        <w:numPr>
          <w:ilvl w:val="0"/>
          <w:numId w:val="47"/>
        </w:numPr>
        <w:spacing w:afterLines="6" w:after="21"/>
        <w:ind w:left="482" w:hanging="482"/>
        <w:rPr>
          <w:rFonts w:ascii="新細明體"/>
          <w:szCs w:val="20"/>
        </w:rPr>
      </w:pPr>
      <w:r w:rsidRPr="00C06EA8">
        <w:rPr>
          <w:rFonts w:ascii="新細明體" w:hint="eastAsia"/>
          <w:szCs w:val="20"/>
        </w:rPr>
        <w:t>如有購買想法，會考慮以標定價格購買產品樣式。</w:t>
      </w:r>
    </w:p>
    <w:p w:rsidR="00EC73E8" w:rsidRPr="00C06EA8" w:rsidRDefault="00F022DF" w:rsidP="00E17E76">
      <w:pPr>
        <w:pStyle w:val="12Textleft"/>
        <w:numPr>
          <w:ilvl w:val="0"/>
          <w:numId w:val="47"/>
        </w:numPr>
        <w:spacing w:afterLines="6" w:after="21"/>
        <w:ind w:left="482" w:hanging="482"/>
        <w:rPr>
          <w:rFonts w:ascii="新細明體"/>
          <w:szCs w:val="20"/>
        </w:rPr>
      </w:pPr>
      <w:r w:rsidRPr="00C06EA8">
        <w:rPr>
          <w:rFonts w:ascii="新細明體" w:hint="eastAsia"/>
          <w:szCs w:val="20"/>
        </w:rPr>
        <w:t>會考慮以標定價格購買產品</w:t>
      </w:r>
    </w:p>
    <w:p w:rsidR="00EC73E8" w:rsidRPr="00C06EA8" w:rsidRDefault="00F022DF" w:rsidP="00E17E76">
      <w:pPr>
        <w:pStyle w:val="12Textleft"/>
        <w:numPr>
          <w:ilvl w:val="0"/>
          <w:numId w:val="47"/>
        </w:numPr>
        <w:spacing w:afterLines="6" w:after="21"/>
        <w:ind w:left="482" w:hanging="482"/>
        <w:rPr>
          <w:rFonts w:ascii="新細明體"/>
          <w:szCs w:val="20"/>
        </w:rPr>
      </w:pPr>
      <w:r w:rsidRPr="00C06EA8">
        <w:rPr>
          <w:rFonts w:ascii="新細明體" w:hint="eastAsia"/>
          <w:szCs w:val="20"/>
        </w:rPr>
        <w:t>考慮購買產品或服務的機率</w:t>
      </w:r>
    </w:p>
    <w:p w:rsidR="00A871E8" w:rsidRPr="00C06EA8" w:rsidRDefault="00F022DF" w:rsidP="00E17E76">
      <w:pPr>
        <w:pStyle w:val="12Textleft"/>
        <w:numPr>
          <w:ilvl w:val="0"/>
          <w:numId w:val="47"/>
        </w:numPr>
        <w:spacing w:afterLines="6" w:after="21"/>
        <w:ind w:left="482" w:hanging="482"/>
        <w:rPr>
          <w:rFonts w:ascii="新細明體"/>
          <w:szCs w:val="20"/>
        </w:rPr>
      </w:pPr>
      <w:r w:rsidRPr="00C06EA8">
        <w:rPr>
          <w:rFonts w:ascii="新細明體" w:hint="eastAsia"/>
          <w:szCs w:val="20"/>
        </w:rPr>
        <w:t>購買產品或服務的意願</w:t>
      </w:r>
    </w:p>
    <w:p w:rsidR="00FB12A1" w:rsidRPr="00AF33DD" w:rsidRDefault="00D846F0" w:rsidP="00AF33DD">
      <w:pPr>
        <w:pStyle w:val="110"/>
      </w:pPr>
      <w:r w:rsidRPr="00C06EA8">
        <w:rPr>
          <w:rFonts w:hint="eastAsia"/>
        </w:rPr>
        <w:t>研究方法</w:t>
      </w:r>
    </w:p>
    <w:p w:rsidR="00D560D5" w:rsidRPr="00AF33DD" w:rsidRDefault="00D560D5" w:rsidP="00D560D5">
      <w:pPr>
        <w:pStyle w:val="12Text"/>
      </w:pPr>
      <w:r w:rsidRPr="00AF33DD">
        <w:rPr>
          <w:rFonts w:hint="eastAsia"/>
        </w:rPr>
        <w:t>本研究以消費者為研究對象，主要探討消費者在購買運動鞋的決策過程中，運動種類與運動鞋之關聯、品牌形象、知覺價值、運動防護、品牌聯想對消費者購買意願之影響，進而得知消費者在選擇運動鞋類的購買意圖，擬定商品生產的方向和行銷策略，增加品牌在市場上的競爭力。本研究之觀念性架構，如</w:t>
      </w:r>
      <w:r w:rsidRPr="00C06EA8">
        <w:rPr>
          <w:rFonts w:ascii="新細明體" w:hAnsi="新細明體"/>
          <w:szCs w:val="20"/>
          <w:lang w:eastAsia="zh-TW"/>
        </w:rPr>
        <w:fldChar w:fldCharType="begin"/>
      </w:r>
      <w:r w:rsidRPr="00C06EA8">
        <w:rPr>
          <w:rFonts w:ascii="新細明體" w:hAnsi="新細明體"/>
          <w:szCs w:val="20"/>
          <w:lang w:eastAsia="zh-TW"/>
        </w:rPr>
        <w:instrText xml:space="preserve"> </w:instrText>
      </w:r>
      <w:r w:rsidRPr="00C06EA8">
        <w:rPr>
          <w:rFonts w:ascii="新細明體" w:hAnsi="新細明體" w:hint="eastAsia"/>
          <w:szCs w:val="20"/>
          <w:lang w:eastAsia="zh-TW"/>
        </w:rPr>
        <w:instrText>REF _Ref70658915 \h</w:instrText>
      </w:r>
      <w:r w:rsidRPr="00C06EA8">
        <w:rPr>
          <w:rFonts w:ascii="新細明體" w:hAnsi="新細明體"/>
          <w:szCs w:val="20"/>
          <w:lang w:eastAsia="zh-TW"/>
        </w:rPr>
        <w:instrText xml:space="preserve"> </w:instrText>
      </w:r>
      <w:r w:rsidR="00C06EA8" w:rsidRPr="00C06EA8">
        <w:rPr>
          <w:rFonts w:ascii="新細明體" w:hAnsi="新細明體"/>
          <w:szCs w:val="20"/>
          <w:lang w:eastAsia="zh-TW"/>
        </w:rPr>
        <w:instrText xml:space="preserve"> \* MERGEFORMAT </w:instrText>
      </w:r>
      <w:r w:rsidRPr="00C06EA8">
        <w:rPr>
          <w:rFonts w:ascii="新細明體" w:hAnsi="新細明體"/>
          <w:szCs w:val="20"/>
          <w:lang w:eastAsia="zh-TW"/>
        </w:rPr>
      </w:r>
      <w:r w:rsidRPr="00C06EA8">
        <w:rPr>
          <w:rFonts w:ascii="新細明體" w:hAnsi="新細明體"/>
          <w:szCs w:val="20"/>
          <w:lang w:eastAsia="zh-TW"/>
        </w:rPr>
        <w:fldChar w:fldCharType="separate"/>
      </w:r>
      <w:r w:rsidR="00C22847" w:rsidRPr="00C06EA8">
        <w:rPr>
          <w:rFonts w:ascii="新細明體" w:hAnsi="新細明體" w:hint="eastAsia"/>
          <w:szCs w:val="20"/>
        </w:rPr>
        <w:t xml:space="preserve">圖 </w:t>
      </w:r>
      <w:r w:rsidR="00C22847" w:rsidRPr="00C06EA8">
        <w:rPr>
          <w:rFonts w:ascii="新細明體" w:hAnsi="新細明體"/>
          <w:noProof/>
          <w:szCs w:val="20"/>
        </w:rPr>
        <w:t>2</w:t>
      </w:r>
      <w:r w:rsidRPr="00C06EA8">
        <w:rPr>
          <w:rFonts w:ascii="新細明體" w:hAnsi="新細明體"/>
          <w:szCs w:val="20"/>
          <w:lang w:eastAsia="zh-TW"/>
        </w:rPr>
        <w:fldChar w:fldCharType="end"/>
      </w:r>
      <w:r w:rsidRPr="00AF33DD">
        <w:rPr>
          <w:rFonts w:hint="eastAsia"/>
        </w:rPr>
        <w:t xml:space="preserve"> </w:t>
      </w:r>
      <w:r w:rsidRPr="00AF33DD">
        <w:rPr>
          <w:rFonts w:hint="eastAsia"/>
        </w:rPr>
        <w:t>所示。</w:t>
      </w:r>
    </w:p>
    <w:p w:rsidR="00715C92" w:rsidRPr="00AF33DD" w:rsidRDefault="00976502" w:rsidP="00AF33DD">
      <w:r w:rsidRPr="00AF33DD">
        <w:drawing>
          <wp:inline distT="0" distB="0" distL="0" distR="0" wp14:anchorId="5A583895" wp14:editId="057F89B8">
            <wp:extent cx="2756985" cy="1276985"/>
            <wp:effectExtent l="0" t="0" r="0" b="0"/>
            <wp:docPr id="2"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t="25283" r="16851" b="11377"/>
                    <a:stretch/>
                  </pic:blipFill>
                  <pic:spPr bwMode="auto">
                    <a:xfrm>
                      <a:off x="0" y="0"/>
                      <a:ext cx="2758799" cy="1277825"/>
                    </a:xfrm>
                    <a:prstGeom prst="rect">
                      <a:avLst/>
                    </a:prstGeom>
                    <a:noFill/>
                    <a:ln>
                      <a:noFill/>
                    </a:ln>
                    <a:extLst>
                      <a:ext uri="{53640926-AAD7-44D8-BBD7-CCE9431645EC}">
                        <a14:shadowObscured xmlns:a14="http://schemas.microsoft.com/office/drawing/2010/main"/>
                      </a:ext>
                    </a:extLst>
                  </pic:spPr>
                </pic:pic>
              </a:graphicData>
            </a:graphic>
          </wp:inline>
        </w:drawing>
      </w:r>
    </w:p>
    <w:p w:rsidR="00D560D5" w:rsidRPr="00AF33DD" w:rsidRDefault="00D560D5" w:rsidP="00AF33DD">
      <w:pPr>
        <w:pStyle w:val="08"/>
      </w:pPr>
      <w:bookmarkStart w:id="4" w:name="_Ref70658915"/>
      <w:r w:rsidRPr="00AF33DD">
        <w:rPr>
          <w:rFonts w:hint="eastAsia"/>
        </w:rPr>
        <w:t>圖</w:t>
      </w:r>
      <w:r w:rsidRPr="00AF33DD">
        <w:rPr>
          <w:rFonts w:hint="eastAsia"/>
        </w:rPr>
        <w:t xml:space="preserve"> </w:t>
      </w:r>
      <w:r w:rsidRPr="00AF33DD">
        <w:fldChar w:fldCharType="begin"/>
      </w:r>
      <w:r w:rsidRPr="00AF33DD">
        <w:instrText xml:space="preserve"> </w:instrText>
      </w:r>
      <w:r w:rsidRPr="00AF33DD">
        <w:rPr>
          <w:rFonts w:hint="eastAsia"/>
        </w:rPr>
        <w:instrText xml:space="preserve">SEQ </w:instrText>
      </w:r>
      <w:r w:rsidRPr="00AF33DD">
        <w:rPr>
          <w:rFonts w:hint="eastAsia"/>
        </w:rPr>
        <w:instrText>圖</w:instrText>
      </w:r>
      <w:r w:rsidRPr="00AF33DD">
        <w:rPr>
          <w:rFonts w:hint="eastAsia"/>
        </w:rPr>
        <w:instrText xml:space="preserve"> \* ARABIC</w:instrText>
      </w:r>
      <w:r w:rsidRPr="00AF33DD">
        <w:instrText xml:space="preserve"> </w:instrText>
      </w:r>
      <w:r w:rsidRPr="00AF33DD">
        <w:fldChar w:fldCharType="separate"/>
      </w:r>
      <w:r w:rsidR="00C22847" w:rsidRPr="00AF33DD">
        <w:t>2</w:t>
      </w:r>
      <w:r w:rsidRPr="00AF33DD">
        <w:fldChar w:fldCharType="end"/>
      </w:r>
      <w:bookmarkEnd w:id="4"/>
      <w:r w:rsidRPr="00AF33DD">
        <w:rPr>
          <w:rFonts w:hint="eastAsia"/>
        </w:rPr>
        <w:t xml:space="preserve"> </w:t>
      </w:r>
      <w:r w:rsidRPr="00AF33DD">
        <w:rPr>
          <w:rFonts w:hint="eastAsia"/>
        </w:rPr>
        <w:t>研究架構</w:t>
      </w:r>
    </w:p>
    <w:p w:rsidR="00FB12A1" w:rsidRPr="00C06EA8" w:rsidRDefault="00FB12A1" w:rsidP="00AF33DD">
      <w:pPr>
        <w:pStyle w:val="111"/>
      </w:pPr>
      <w:r w:rsidRPr="00C06EA8">
        <w:rPr>
          <w:rFonts w:hint="eastAsia"/>
        </w:rPr>
        <w:t>發放</w:t>
      </w:r>
      <w:r w:rsidR="00603368" w:rsidRPr="00C06EA8">
        <w:rPr>
          <w:rFonts w:hint="eastAsia"/>
        </w:rPr>
        <w:t>對象</w:t>
      </w:r>
    </w:p>
    <w:p w:rsidR="00FB12A1" w:rsidRPr="00C06EA8" w:rsidRDefault="00603368" w:rsidP="00AF33DD">
      <w:pPr>
        <w:pStyle w:val="12Text"/>
      </w:pPr>
      <w:r w:rsidRPr="00AF33DD">
        <w:rPr>
          <w:rFonts w:hint="eastAsia"/>
        </w:rPr>
        <w:t>本問卷使用</w:t>
      </w:r>
      <w:proofErr w:type="spellStart"/>
      <w:r w:rsidRPr="00C06EA8">
        <w:t>goolge</w:t>
      </w:r>
      <w:proofErr w:type="spellEnd"/>
      <w:r w:rsidRPr="00C06EA8">
        <w:rPr>
          <w:rFonts w:hint="eastAsia"/>
        </w:rPr>
        <w:t>表單製作，透過預試問卷進行信度分析，確認題目具有高度可信度後，於</w:t>
      </w:r>
      <w:r w:rsidRPr="00C06EA8">
        <w:rPr>
          <w:rFonts w:hint="eastAsia"/>
        </w:rPr>
        <w:t>109</w:t>
      </w:r>
      <w:r w:rsidRPr="00C06EA8">
        <w:rPr>
          <w:rFonts w:hint="eastAsia"/>
        </w:rPr>
        <w:t>年</w:t>
      </w:r>
      <w:r w:rsidRPr="00C06EA8">
        <w:rPr>
          <w:rFonts w:hint="eastAsia"/>
        </w:rPr>
        <w:t>11</w:t>
      </w:r>
      <w:r w:rsidRPr="00C06EA8">
        <w:rPr>
          <w:rFonts w:hint="eastAsia"/>
        </w:rPr>
        <w:t>月</w:t>
      </w:r>
      <w:r w:rsidRPr="00C06EA8">
        <w:rPr>
          <w:rFonts w:hint="eastAsia"/>
        </w:rPr>
        <w:t>8</w:t>
      </w:r>
      <w:r w:rsidRPr="00C06EA8">
        <w:rPr>
          <w:rFonts w:hint="eastAsia"/>
        </w:rPr>
        <w:t>日至</w:t>
      </w:r>
      <w:r w:rsidRPr="00C06EA8">
        <w:rPr>
          <w:rFonts w:hint="eastAsia"/>
        </w:rPr>
        <w:t>109</w:t>
      </w:r>
      <w:r w:rsidRPr="00C06EA8">
        <w:rPr>
          <w:rFonts w:hint="eastAsia"/>
        </w:rPr>
        <w:t>年</w:t>
      </w:r>
      <w:r w:rsidRPr="00C06EA8">
        <w:rPr>
          <w:rFonts w:hint="eastAsia"/>
        </w:rPr>
        <w:t>11</w:t>
      </w:r>
      <w:r w:rsidRPr="00C06EA8">
        <w:rPr>
          <w:rFonts w:hint="eastAsia"/>
        </w:rPr>
        <w:t>月</w:t>
      </w:r>
      <w:r w:rsidRPr="00C06EA8">
        <w:rPr>
          <w:rFonts w:hint="eastAsia"/>
        </w:rPr>
        <w:t>30</w:t>
      </w:r>
      <w:r w:rsidRPr="00C06EA8">
        <w:rPr>
          <w:rFonts w:hint="eastAsia"/>
        </w:rPr>
        <w:t>日再次進行網路發放正式問卷，針對各年層以及運動鞋類消費者做發放。問卷回收結果為，總共回收</w:t>
      </w:r>
      <w:r w:rsidRPr="00C06EA8">
        <w:rPr>
          <w:rFonts w:hint="eastAsia"/>
        </w:rPr>
        <w:t>411</w:t>
      </w:r>
      <w:r w:rsidRPr="00C06EA8">
        <w:rPr>
          <w:rFonts w:hint="eastAsia"/>
        </w:rPr>
        <w:t>份問卷，扣除</w:t>
      </w:r>
      <w:r w:rsidRPr="00C06EA8">
        <w:rPr>
          <w:rFonts w:hint="eastAsia"/>
        </w:rPr>
        <w:t>1</w:t>
      </w:r>
      <w:r w:rsidRPr="00C06EA8">
        <w:rPr>
          <w:rFonts w:hint="eastAsia"/>
        </w:rPr>
        <w:t>份無效問卷，有效問卷為</w:t>
      </w:r>
      <w:r w:rsidRPr="00C06EA8">
        <w:rPr>
          <w:rFonts w:hint="eastAsia"/>
        </w:rPr>
        <w:t>410</w:t>
      </w:r>
      <w:r w:rsidRPr="00C06EA8">
        <w:rPr>
          <w:rFonts w:hint="eastAsia"/>
        </w:rPr>
        <w:t>份，有效問卷回收率為</w:t>
      </w:r>
      <w:r w:rsidRPr="00C06EA8">
        <w:rPr>
          <w:rFonts w:hint="eastAsia"/>
        </w:rPr>
        <w:t>99%</w:t>
      </w:r>
      <w:r w:rsidRPr="00C06EA8">
        <w:rPr>
          <w:rFonts w:hint="eastAsia"/>
        </w:rPr>
        <w:t>。</w:t>
      </w:r>
    </w:p>
    <w:p w:rsidR="00FB12A1" w:rsidRPr="00C06EA8" w:rsidRDefault="00603368" w:rsidP="00AF33DD">
      <w:pPr>
        <w:pStyle w:val="110"/>
      </w:pPr>
      <w:r w:rsidRPr="00C06EA8">
        <w:rPr>
          <w:rFonts w:hint="eastAsia"/>
        </w:rPr>
        <w:t>資料分析方法</w:t>
      </w:r>
    </w:p>
    <w:p w:rsidR="004E594F" w:rsidRPr="00AF33DD" w:rsidRDefault="00551077" w:rsidP="004E594F">
      <w:pPr>
        <w:pStyle w:val="12Text"/>
      </w:pPr>
      <w:r w:rsidRPr="00AF33DD">
        <w:rPr>
          <w:rFonts w:hint="eastAsia"/>
        </w:rPr>
        <w:t>本研究使用</w:t>
      </w:r>
      <w:r w:rsidRPr="00C06EA8">
        <w:rPr>
          <w:szCs w:val="20"/>
        </w:rPr>
        <w:t>SPSS</w:t>
      </w:r>
      <w:r w:rsidRPr="00AF33DD">
        <w:t xml:space="preserve"> 25</w:t>
      </w:r>
      <w:r w:rsidRPr="00AF33DD">
        <w:t>統計軟體對回收之問卷</w:t>
      </w:r>
      <w:r w:rsidR="00C22AA1" w:rsidRPr="00AF33DD">
        <w:t>進行分析，透過各種分析方法進行推論和探討各變項之關係。共分為</w:t>
      </w:r>
      <w:r w:rsidR="009E124A" w:rsidRPr="00AF33DD">
        <w:rPr>
          <w:rFonts w:hint="eastAsia"/>
        </w:rPr>
        <w:t>六個部</w:t>
      </w:r>
      <w:r w:rsidRPr="00AF33DD">
        <w:t>分</w:t>
      </w:r>
      <w:r w:rsidR="009E124A" w:rsidRPr="00AF33DD">
        <w:rPr>
          <w:rFonts w:hint="eastAsia"/>
        </w:rPr>
        <w:t>:</w:t>
      </w:r>
      <w:r w:rsidR="009E124A" w:rsidRPr="00AF33DD">
        <w:rPr>
          <w:rFonts w:hint="eastAsia"/>
        </w:rPr>
        <w:t>人口統計變數、信度分析、因素分析、獨立樣本</w:t>
      </w:r>
      <w:r w:rsidR="009E124A" w:rsidRPr="00AF33DD">
        <w:rPr>
          <w:rFonts w:hint="eastAsia"/>
        </w:rPr>
        <w:t>T</w:t>
      </w:r>
      <w:r w:rsidR="009E124A" w:rsidRPr="00AF33DD">
        <w:rPr>
          <w:rFonts w:hint="eastAsia"/>
        </w:rPr>
        <w:t>檢定、單因子變異數分析、皮爾森相關係數分析。</w:t>
      </w:r>
      <w:r w:rsidRPr="00AF33DD">
        <w:rPr>
          <w:rFonts w:hint="eastAsia"/>
        </w:rPr>
        <w:t>根據本研究之目的及各學者提出的文獻中的結果，提出以下假設：</w:t>
      </w:r>
    </w:p>
    <w:p w:rsidR="008849D2" w:rsidRPr="00C06EA8" w:rsidRDefault="00FB12A1" w:rsidP="00E17E76">
      <w:pPr>
        <w:pStyle w:val="12Textleft"/>
        <w:spacing w:afterLines="6" w:after="21"/>
        <w:ind w:left="400" w:hangingChars="200" w:hanging="400"/>
        <w:rPr>
          <w:rFonts w:ascii="新細明體"/>
          <w:szCs w:val="20"/>
        </w:rPr>
      </w:pPr>
      <w:r w:rsidRPr="00C06EA8">
        <w:rPr>
          <w:rFonts w:ascii="新細明體"/>
          <w:szCs w:val="20"/>
        </w:rPr>
        <w:t>H</w:t>
      </w:r>
      <w:r w:rsidRPr="00C06EA8">
        <w:rPr>
          <w:rFonts w:ascii="新細明體" w:hint="eastAsia"/>
          <w:szCs w:val="20"/>
        </w:rPr>
        <w:t>1：</w:t>
      </w:r>
      <w:r w:rsidR="00963909" w:rsidRPr="00C06EA8">
        <w:rPr>
          <w:rFonts w:ascii="新細明體" w:hint="eastAsia"/>
          <w:szCs w:val="20"/>
        </w:rPr>
        <w:t>知覺價值對運動鞋類之購買意願具顯著</w:t>
      </w:r>
      <w:r w:rsidR="00963909" w:rsidRPr="00C06EA8">
        <w:rPr>
          <w:rFonts w:ascii="新細明體" w:hint="eastAsia"/>
          <w:szCs w:val="20"/>
          <w:lang w:eastAsia="zh-TW"/>
        </w:rPr>
        <w:t>相關</w:t>
      </w:r>
    </w:p>
    <w:p w:rsidR="00FB12A1" w:rsidRPr="00C06EA8" w:rsidRDefault="00FB12A1" w:rsidP="00E17E76">
      <w:pPr>
        <w:pStyle w:val="12Textleft"/>
        <w:spacing w:afterLines="6" w:after="21"/>
        <w:ind w:left="400" w:hangingChars="200" w:hanging="400"/>
        <w:rPr>
          <w:rFonts w:ascii="新細明體"/>
          <w:szCs w:val="20"/>
        </w:rPr>
      </w:pPr>
      <w:r w:rsidRPr="00C06EA8">
        <w:rPr>
          <w:rFonts w:ascii="新細明體" w:hint="eastAsia"/>
          <w:szCs w:val="20"/>
        </w:rPr>
        <w:t>H2：</w:t>
      </w:r>
      <w:r w:rsidR="007A594E" w:rsidRPr="00C06EA8">
        <w:rPr>
          <w:rFonts w:ascii="新細明體" w:hint="eastAsia"/>
          <w:szCs w:val="20"/>
        </w:rPr>
        <w:t>購買運動鞋平均價格對運動鞋類之品牌聯想具顯著差異</w:t>
      </w:r>
    </w:p>
    <w:p w:rsidR="00FB12A1" w:rsidRPr="00C06EA8" w:rsidRDefault="00FB12A1" w:rsidP="00E17E76">
      <w:pPr>
        <w:pStyle w:val="12Textleft"/>
        <w:spacing w:afterLines="6" w:after="21"/>
        <w:ind w:left="400" w:hangingChars="200" w:hanging="400"/>
        <w:rPr>
          <w:rFonts w:ascii="新細明體"/>
          <w:szCs w:val="20"/>
        </w:rPr>
      </w:pPr>
      <w:r w:rsidRPr="00C06EA8">
        <w:rPr>
          <w:rFonts w:ascii="新細明體" w:hint="eastAsia"/>
          <w:szCs w:val="20"/>
        </w:rPr>
        <w:t>H3：</w:t>
      </w:r>
      <w:r w:rsidR="007A594E" w:rsidRPr="00C06EA8">
        <w:rPr>
          <w:rFonts w:ascii="新細明體" w:hint="eastAsia"/>
          <w:szCs w:val="20"/>
        </w:rPr>
        <w:t>性別對運動鞋類之運動防護具顯著差異</w:t>
      </w:r>
    </w:p>
    <w:p w:rsidR="00FB12A1" w:rsidRPr="00C06EA8" w:rsidRDefault="00FB12A1" w:rsidP="00E17E76">
      <w:pPr>
        <w:pStyle w:val="12Textleft"/>
        <w:spacing w:afterLines="6" w:after="21"/>
        <w:ind w:left="400" w:hangingChars="200" w:hanging="400"/>
        <w:rPr>
          <w:rFonts w:ascii="新細明體"/>
          <w:szCs w:val="20"/>
        </w:rPr>
      </w:pPr>
      <w:r w:rsidRPr="00C06EA8">
        <w:rPr>
          <w:rFonts w:ascii="新細明體" w:hint="eastAsia"/>
          <w:szCs w:val="20"/>
        </w:rPr>
        <w:t>H4：</w:t>
      </w:r>
      <w:r w:rsidR="007A594E" w:rsidRPr="00C06EA8">
        <w:rPr>
          <w:rFonts w:ascii="新細明體" w:hint="eastAsia"/>
          <w:szCs w:val="20"/>
        </w:rPr>
        <w:t>不同運動項目度對運動鞋類之品牌聯想具顯著差異</w:t>
      </w:r>
    </w:p>
    <w:p w:rsidR="00FB12A1" w:rsidRPr="00C06EA8" w:rsidRDefault="00FB12A1" w:rsidP="00E17E76">
      <w:pPr>
        <w:pStyle w:val="12Textleft"/>
        <w:spacing w:afterLines="6" w:after="21"/>
        <w:ind w:left="400" w:hangingChars="200" w:hanging="400"/>
        <w:rPr>
          <w:rFonts w:ascii="新細明體"/>
          <w:szCs w:val="20"/>
        </w:rPr>
      </w:pPr>
      <w:r w:rsidRPr="00C06EA8">
        <w:rPr>
          <w:rFonts w:ascii="新細明體" w:hint="eastAsia"/>
          <w:szCs w:val="20"/>
        </w:rPr>
        <w:t>H5：</w:t>
      </w:r>
      <w:r w:rsidR="00963909" w:rsidRPr="00C06EA8">
        <w:rPr>
          <w:rFonts w:ascii="新細明體" w:hint="eastAsia"/>
          <w:szCs w:val="20"/>
        </w:rPr>
        <w:t>運動防護對運動鞋類之購買意願具顯著</w:t>
      </w:r>
      <w:r w:rsidR="00963909" w:rsidRPr="00C06EA8">
        <w:rPr>
          <w:rFonts w:ascii="新細明體" w:hint="eastAsia"/>
          <w:szCs w:val="20"/>
          <w:lang w:eastAsia="zh-TW"/>
        </w:rPr>
        <w:t>相關</w:t>
      </w:r>
    </w:p>
    <w:p w:rsidR="00FB12A1" w:rsidRPr="00C06EA8" w:rsidRDefault="00FB12A1" w:rsidP="00E17E76">
      <w:pPr>
        <w:pStyle w:val="12Textleft"/>
        <w:spacing w:afterLines="6" w:after="21"/>
        <w:ind w:left="400" w:hangingChars="200" w:hanging="400"/>
        <w:rPr>
          <w:rFonts w:ascii="新細明體"/>
          <w:szCs w:val="20"/>
        </w:rPr>
      </w:pPr>
      <w:r w:rsidRPr="00C06EA8">
        <w:rPr>
          <w:rFonts w:ascii="新細明體" w:hint="eastAsia"/>
          <w:szCs w:val="20"/>
        </w:rPr>
        <w:t xml:space="preserve">H6: </w:t>
      </w:r>
      <w:r w:rsidR="007A594E" w:rsidRPr="00C06EA8">
        <w:rPr>
          <w:rFonts w:ascii="新細明體" w:hint="eastAsia"/>
          <w:szCs w:val="20"/>
        </w:rPr>
        <w:t>是否關注運動品牌鞋類資訊對運動鞋類之購買意願具顯著影響</w:t>
      </w:r>
    </w:p>
    <w:p w:rsidR="00FB12A1" w:rsidRPr="00C06EA8" w:rsidRDefault="00FB12A1" w:rsidP="00E17E76">
      <w:pPr>
        <w:pStyle w:val="12Textleft"/>
        <w:spacing w:afterLines="6" w:after="21"/>
        <w:ind w:left="400" w:hangingChars="200" w:hanging="400"/>
        <w:rPr>
          <w:rFonts w:ascii="新細明體"/>
          <w:szCs w:val="20"/>
        </w:rPr>
      </w:pPr>
      <w:r w:rsidRPr="00C06EA8">
        <w:rPr>
          <w:rFonts w:ascii="新細明體" w:hint="eastAsia"/>
          <w:szCs w:val="20"/>
        </w:rPr>
        <w:t xml:space="preserve">H7: </w:t>
      </w:r>
      <w:r w:rsidR="007A594E" w:rsidRPr="00C06EA8">
        <w:rPr>
          <w:rFonts w:ascii="新細明體" w:hint="eastAsia"/>
          <w:szCs w:val="20"/>
        </w:rPr>
        <w:t>品牌形象對運動鞋類之購買意願具顯著影響</w:t>
      </w:r>
    </w:p>
    <w:p w:rsidR="00551077" w:rsidRPr="00C06EA8" w:rsidRDefault="00FB12A1" w:rsidP="00E17E76">
      <w:pPr>
        <w:pStyle w:val="12Textleft"/>
        <w:spacing w:afterLines="6" w:after="21"/>
        <w:ind w:left="400" w:hangingChars="200" w:hanging="400"/>
        <w:rPr>
          <w:rFonts w:ascii="新細明體"/>
          <w:szCs w:val="20"/>
        </w:rPr>
      </w:pPr>
      <w:r w:rsidRPr="00C06EA8">
        <w:rPr>
          <w:rFonts w:ascii="新細明體" w:hint="eastAsia"/>
          <w:szCs w:val="20"/>
        </w:rPr>
        <w:t xml:space="preserve">H8: </w:t>
      </w:r>
      <w:r w:rsidR="007A594E" w:rsidRPr="00C06EA8">
        <w:rPr>
          <w:rFonts w:ascii="新細明體" w:hint="eastAsia"/>
          <w:szCs w:val="20"/>
        </w:rPr>
        <w:t>擁有運動鞋數量對品牌形象具顯著影響</w:t>
      </w:r>
    </w:p>
    <w:p w:rsidR="00B66C9C" w:rsidRPr="00AF33DD" w:rsidRDefault="00B66C9C" w:rsidP="00AF33DD">
      <w:pPr>
        <w:pStyle w:val="110"/>
      </w:pPr>
      <w:r w:rsidRPr="00C06EA8">
        <w:rPr>
          <w:rFonts w:hint="eastAsia"/>
        </w:rPr>
        <w:t>結果與討論</w:t>
      </w:r>
    </w:p>
    <w:p w:rsidR="00B66C9C" w:rsidRPr="00C06EA8" w:rsidRDefault="008849D2" w:rsidP="00AF33DD">
      <w:pPr>
        <w:pStyle w:val="111"/>
      </w:pPr>
      <w:r w:rsidRPr="00C06EA8">
        <w:rPr>
          <w:rFonts w:hint="eastAsia"/>
        </w:rPr>
        <w:t>信度分析</w:t>
      </w:r>
    </w:p>
    <w:p w:rsidR="00EA5C36" w:rsidRPr="00AF33DD" w:rsidRDefault="008849D2" w:rsidP="007A594E">
      <w:pPr>
        <w:pStyle w:val="12Text"/>
      </w:pPr>
      <w:r w:rsidRPr="00AF33DD">
        <w:rPr>
          <w:rFonts w:hint="eastAsia"/>
        </w:rPr>
        <w:t>本研究經效度分析後得出四項因素進行分析，</w:t>
      </w:r>
      <w:r w:rsidR="00F95A95" w:rsidRPr="00AF33DD">
        <w:rPr>
          <w:rFonts w:hint="eastAsia"/>
        </w:rPr>
        <w:t>所得</w:t>
      </w:r>
      <w:r w:rsidR="00EA5C36" w:rsidRPr="00C06EA8">
        <w:rPr>
          <w:szCs w:val="20"/>
        </w:rPr>
        <w:t>Cronbach’s α</w:t>
      </w:r>
      <w:r w:rsidR="00EA5C36" w:rsidRPr="00AF33DD">
        <w:rPr>
          <w:rFonts w:hint="eastAsia"/>
        </w:rPr>
        <w:t>值</w:t>
      </w:r>
      <w:r w:rsidR="00F73EDC" w:rsidRPr="00AF33DD">
        <w:rPr>
          <w:rFonts w:hint="eastAsia"/>
        </w:rPr>
        <w:t>，如</w:t>
      </w:r>
      <w:r w:rsidR="00F73EDC" w:rsidRPr="00C06EA8">
        <w:rPr>
          <w:rFonts w:ascii="新細明體" w:hAnsi="新細明體"/>
          <w:szCs w:val="20"/>
        </w:rPr>
        <w:fldChar w:fldCharType="begin"/>
      </w:r>
      <w:r w:rsidR="00F73EDC" w:rsidRPr="00C06EA8">
        <w:rPr>
          <w:rFonts w:ascii="新細明體" w:hAnsi="新細明體"/>
          <w:szCs w:val="20"/>
          <w:lang w:eastAsia="zh-TW"/>
        </w:rPr>
        <w:instrText xml:space="preserve"> </w:instrText>
      </w:r>
      <w:r w:rsidR="00F73EDC" w:rsidRPr="00C06EA8">
        <w:rPr>
          <w:rFonts w:ascii="新細明體" w:hAnsi="新細明體" w:hint="eastAsia"/>
          <w:szCs w:val="20"/>
          <w:lang w:eastAsia="zh-TW"/>
        </w:rPr>
        <w:instrText>REF _Ref70659859 \h</w:instrText>
      </w:r>
      <w:r w:rsidR="00F73EDC" w:rsidRPr="00C06EA8">
        <w:rPr>
          <w:rFonts w:ascii="新細明體" w:hAnsi="新細明體"/>
          <w:szCs w:val="20"/>
          <w:lang w:eastAsia="zh-TW"/>
        </w:rPr>
        <w:instrText xml:space="preserve"> </w:instrText>
      </w:r>
      <w:r w:rsidR="00C06EA8" w:rsidRPr="00C06EA8">
        <w:rPr>
          <w:rFonts w:ascii="新細明體" w:hAnsi="新細明體"/>
          <w:szCs w:val="20"/>
        </w:rPr>
        <w:instrText xml:space="preserve"> \* MERGEFORMAT </w:instrText>
      </w:r>
      <w:r w:rsidR="00F73EDC" w:rsidRPr="00C06EA8">
        <w:rPr>
          <w:rFonts w:ascii="新細明體" w:hAnsi="新細明體"/>
          <w:szCs w:val="20"/>
        </w:rPr>
      </w:r>
      <w:r w:rsidR="00F73EDC" w:rsidRPr="00C06EA8">
        <w:rPr>
          <w:rFonts w:ascii="新細明體" w:hAnsi="新細明體"/>
          <w:szCs w:val="20"/>
        </w:rPr>
        <w:fldChar w:fldCharType="separate"/>
      </w:r>
      <w:r w:rsidR="00C22847" w:rsidRPr="00C06EA8">
        <w:rPr>
          <w:rFonts w:ascii="新細明體" w:hAnsi="新細明體" w:hint="eastAsia"/>
          <w:szCs w:val="20"/>
        </w:rPr>
        <w:t xml:space="preserve">表 </w:t>
      </w:r>
      <w:r w:rsidR="00C22847" w:rsidRPr="00C06EA8">
        <w:rPr>
          <w:rFonts w:ascii="新細明體" w:hAnsi="新細明體"/>
          <w:noProof/>
          <w:szCs w:val="20"/>
        </w:rPr>
        <w:t>2</w:t>
      </w:r>
      <w:r w:rsidR="00F73EDC" w:rsidRPr="00C06EA8">
        <w:rPr>
          <w:rFonts w:ascii="新細明體" w:hAnsi="新細明體"/>
          <w:szCs w:val="20"/>
        </w:rPr>
        <w:fldChar w:fldCharType="end"/>
      </w:r>
      <w:r w:rsidR="00F73EDC" w:rsidRPr="00AF33DD">
        <w:rPr>
          <w:rFonts w:hint="eastAsia"/>
        </w:rPr>
        <w:t>所示</w:t>
      </w:r>
      <w:r w:rsidR="00EA5C36" w:rsidRPr="00AF33DD">
        <w:rPr>
          <w:rFonts w:hint="eastAsia"/>
        </w:rPr>
        <w:t>:</w:t>
      </w:r>
    </w:p>
    <w:p w:rsidR="00F95A95" w:rsidRPr="00AF33DD" w:rsidRDefault="00F73EDC" w:rsidP="00F73EDC">
      <w:pPr>
        <w:pStyle w:val="09"/>
      </w:pPr>
      <w:bookmarkStart w:id="5" w:name="_Ref70659859"/>
      <w:r w:rsidRPr="00AF33DD">
        <w:rPr>
          <w:rFonts w:hint="eastAsia"/>
        </w:rPr>
        <w:t>表</w:t>
      </w:r>
      <w:r w:rsidRPr="00AF33DD">
        <w:rPr>
          <w:rFonts w:hint="eastAsia"/>
        </w:rPr>
        <w:t xml:space="preserve"> </w:t>
      </w:r>
      <w:r w:rsidRPr="00C06EA8">
        <w:rPr>
          <w:rFonts w:ascii="新細明體" w:hAnsi="新細明體"/>
          <w:szCs w:val="20"/>
        </w:rPr>
        <w:fldChar w:fldCharType="begin"/>
      </w:r>
      <w:r w:rsidRPr="00C06EA8">
        <w:rPr>
          <w:rFonts w:ascii="新細明體" w:hAnsi="新細明體"/>
          <w:szCs w:val="20"/>
        </w:rPr>
        <w:instrText xml:space="preserve"> </w:instrText>
      </w:r>
      <w:r w:rsidRPr="00C06EA8">
        <w:rPr>
          <w:rFonts w:ascii="新細明體" w:hAnsi="新細明體" w:hint="eastAsia"/>
          <w:szCs w:val="20"/>
        </w:rPr>
        <w:instrText>SEQ 表 \* ARABIC</w:instrText>
      </w:r>
      <w:r w:rsidRPr="00C06EA8">
        <w:rPr>
          <w:rFonts w:ascii="新細明體" w:hAnsi="新細明體"/>
          <w:szCs w:val="20"/>
        </w:rPr>
        <w:instrText xml:space="preserve"> </w:instrText>
      </w:r>
      <w:r w:rsidRPr="00C06EA8">
        <w:rPr>
          <w:rFonts w:ascii="新細明體" w:hAnsi="新細明體"/>
          <w:szCs w:val="20"/>
        </w:rPr>
        <w:fldChar w:fldCharType="separate"/>
      </w:r>
      <w:r w:rsidR="00C22847" w:rsidRPr="00C06EA8">
        <w:rPr>
          <w:rFonts w:ascii="新細明體" w:hAnsi="新細明體"/>
          <w:szCs w:val="20"/>
        </w:rPr>
        <w:t>2</w:t>
      </w:r>
      <w:r w:rsidRPr="00C06EA8">
        <w:rPr>
          <w:rFonts w:ascii="新細明體" w:hAnsi="新細明體"/>
          <w:szCs w:val="20"/>
        </w:rPr>
        <w:fldChar w:fldCharType="end"/>
      </w:r>
      <w:bookmarkEnd w:id="5"/>
      <w:r w:rsidR="007A594E" w:rsidRPr="00AF33DD">
        <w:rPr>
          <w:rFonts w:hint="eastAsia"/>
        </w:rPr>
        <w:t>重新命名後的信度分析</w:t>
      </w:r>
    </w:p>
    <w:tbl>
      <w:tblPr>
        <w:tblW w:w="0" w:type="auto"/>
        <w:tblBorders>
          <w:top w:val="single" w:sz="8" w:space="0" w:color="auto"/>
          <w:bottom w:val="single" w:sz="8" w:space="0" w:color="auto"/>
        </w:tblBorders>
        <w:tblCellMar>
          <w:top w:w="57" w:type="dxa"/>
          <w:left w:w="57" w:type="dxa"/>
          <w:bottom w:w="57" w:type="dxa"/>
          <w:right w:w="57" w:type="dxa"/>
        </w:tblCellMar>
        <w:tblLook w:val="04A0" w:firstRow="1" w:lastRow="0" w:firstColumn="1" w:lastColumn="0" w:noHBand="0" w:noVBand="1"/>
      </w:tblPr>
      <w:tblGrid>
        <w:gridCol w:w="1649"/>
        <w:gridCol w:w="1810"/>
      </w:tblGrid>
      <w:tr w:rsidR="00F95A95" w:rsidRPr="00C06EA8" w:rsidTr="003B17B9">
        <w:tc>
          <w:tcPr>
            <w:tcW w:w="1649" w:type="dxa"/>
            <w:tcBorders>
              <w:top w:val="single" w:sz="8" w:space="0" w:color="auto"/>
              <w:bottom w:val="single" w:sz="4" w:space="0" w:color="auto"/>
            </w:tcBorders>
            <w:shd w:val="clear" w:color="auto" w:fill="auto"/>
          </w:tcPr>
          <w:p w:rsidR="00F95A95" w:rsidRPr="00C06EA8" w:rsidRDefault="00F95A95" w:rsidP="00D846F0">
            <w:pPr>
              <w:pStyle w:val="15Tabletext"/>
              <w:rPr>
                <w:rFonts w:ascii="新細明體" w:hAnsi="新細明體"/>
                <w:szCs w:val="20"/>
              </w:rPr>
            </w:pPr>
            <w:r w:rsidRPr="00C06EA8">
              <w:rPr>
                <w:rFonts w:ascii="新細明體" w:hAnsi="新細明體" w:hint="eastAsia"/>
                <w:szCs w:val="20"/>
              </w:rPr>
              <w:t>變數</w:t>
            </w:r>
          </w:p>
        </w:tc>
        <w:tc>
          <w:tcPr>
            <w:tcW w:w="1810" w:type="dxa"/>
            <w:tcBorders>
              <w:top w:val="single" w:sz="8" w:space="0" w:color="auto"/>
              <w:bottom w:val="single" w:sz="4" w:space="0" w:color="auto"/>
            </w:tcBorders>
            <w:shd w:val="clear" w:color="auto" w:fill="auto"/>
          </w:tcPr>
          <w:p w:rsidR="00F95A95" w:rsidRPr="00C06EA8" w:rsidRDefault="00F95A95" w:rsidP="00D846F0">
            <w:pPr>
              <w:pStyle w:val="15Tabletext"/>
              <w:rPr>
                <w:rFonts w:ascii="新細明體" w:hAnsi="新細明體"/>
                <w:szCs w:val="20"/>
              </w:rPr>
            </w:pPr>
            <w:r w:rsidRPr="00C06EA8">
              <w:rPr>
                <w:rFonts w:ascii="新細明體" w:hAnsi="新細明體"/>
                <w:szCs w:val="20"/>
              </w:rPr>
              <w:t>Cronbach’s α</w:t>
            </w:r>
            <w:r w:rsidRPr="00C06EA8">
              <w:rPr>
                <w:rFonts w:ascii="新細明體" w:hAnsi="新細明體" w:hint="eastAsia"/>
                <w:szCs w:val="20"/>
              </w:rPr>
              <w:t>值</w:t>
            </w:r>
          </w:p>
        </w:tc>
      </w:tr>
      <w:tr w:rsidR="00F95A95" w:rsidRPr="00C06EA8" w:rsidTr="003B17B9">
        <w:tc>
          <w:tcPr>
            <w:tcW w:w="0" w:type="auto"/>
            <w:shd w:val="clear" w:color="auto" w:fill="auto"/>
          </w:tcPr>
          <w:p w:rsidR="00F95A95" w:rsidRPr="00C06EA8" w:rsidRDefault="00F95A95" w:rsidP="00D846F0">
            <w:pPr>
              <w:pStyle w:val="15Tabletext"/>
              <w:rPr>
                <w:rFonts w:ascii="新細明體" w:hAnsi="新細明體"/>
                <w:szCs w:val="20"/>
              </w:rPr>
            </w:pPr>
            <w:r w:rsidRPr="00C06EA8">
              <w:rPr>
                <w:rFonts w:ascii="新細明體" w:hAnsi="新細明體" w:hint="eastAsia"/>
                <w:szCs w:val="20"/>
              </w:rPr>
              <w:t>品牌形象</w:t>
            </w:r>
          </w:p>
        </w:tc>
        <w:tc>
          <w:tcPr>
            <w:tcW w:w="1810" w:type="dxa"/>
            <w:shd w:val="clear" w:color="auto" w:fill="auto"/>
          </w:tcPr>
          <w:p w:rsidR="00F95A95" w:rsidRPr="00C06EA8" w:rsidRDefault="00F95A95" w:rsidP="00D846F0">
            <w:pPr>
              <w:pStyle w:val="15Tabletext"/>
              <w:jc w:val="center"/>
              <w:rPr>
                <w:rFonts w:ascii="新細明體" w:hAnsi="新細明體"/>
                <w:szCs w:val="20"/>
              </w:rPr>
            </w:pPr>
            <w:r w:rsidRPr="00C06EA8">
              <w:rPr>
                <w:rFonts w:ascii="新細明體" w:hAnsi="新細明體" w:hint="eastAsia"/>
                <w:szCs w:val="20"/>
              </w:rPr>
              <w:t>0.853</w:t>
            </w:r>
          </w:p>
        </w:tc>
      </w:tr>
      <w:tr w:rsidR="00F95A95" w:rsidRPr="00C06EA8" w:rsidTr="003B17B9">
        <w:tc>
          <w:tcPr>
            <w:tcW w:w="0" w:type="auto"/>
            <w:tcBorders>
              <w:top w:val="nil"/>
              <w:left w:val="nil"/>
              <w:bottom w:val="nil"/>
              <w:right w:val="nil"/>
            </w:tcBorders>
            <w:shd w:val="clear" w:color="auto" w:fill="auto"/>
            <w:vAlign w:val="center"/>
          </w:tcPr>
          <w:p w:rsidR="00F95A95" w:rsidRPr="00C06EA8" w:rsidRDefault="00F95A95" w:rsidP="00D846F0">
            <w:pPr>
              <w:pStyle w:val="15Tabletext"/>
              <w:rPr>
                <w:rFonts w:ascii="新細明體" w:hAnsi="新細明體"/>
                <w:szCs w:val="20"/>
              </w:rPr>
            </w:pPr>
            <w:r w:rsidRPr="00C06EA8">
              <w:rPr>
                <w:rFonts w:ascii="新細明體" w:hAnsi="新細明體" w:hint="eastAsia"/>
                <w:szCs w:val="20"/>
              </w:rPr>
              <w:t>知覺價值</w:t>
            </w:r>
          </w:p>
        </w:tc>
        <w:tc>
          <w:tcPr>
            <w:tcW w:w="1810" w:type="dxa"/>
            <w:tcBorders>
              <w:top w:val="nil"/>
              <w:left w:val="nil"/>
              <w:bottom w:val="nil"/>
            </w:tcBorders>
            <w:shd w:val="clear" w:color="auto" w:fill="auto"/>
            <w:vAlign w:val="center"/>
          </w:tcPr>
          <w:p w:rsidR="00F95A95" w:rsidRPr="00C06EA8" w:rsidRDefault="00F95A95" w:rsidP="00D846F0">
            <w:pPr>
              <w:pStyle w:val="15Tabletext"/>
              <w:jc w:val="center"/>
              <w:rPr>
                <w:rFonts w:ascii="新細明體" w:hAnsi="新細明體"/>
                <w:szCs w:val="20"/>
              </w:rPr>
            </w:pPr>
            <w:r w:rsidRPr="00C06EA8">
              <w:rPr>
                <w:rFonts w:ascii="新細明體" w:hAnsi="新細明體" w:cs="Calibri"/>
                <w:color w:val="000000"/>
                <w:kern w:val="0"/>
                <w:szCs w:val="20"/>
              </w:rPr>
              <w:t>0.</w:t>
            </w:r>
            <w:r w:rsidRPr="00C06EA8">
              <w:rPr>
                <w:rFonts w:ascii="新細明體" w:hAnsi="新細明體" w:cs="Calibri" w:hint="eastAsia"/>
                <w:color w:val="000000"/>
                <w:kern w:val="0"/>
                <w:szCs w:val="20"/>
              </w:rPr>
              <w:t>862</w:t>
            </w:r>
          </w:p>
        </w:tc>
      </w:tr>
      <w:tr w:rsidR="00F95A95" w:rsidRPr="00C06EA8" w:rsidTr="003B17B9">
        <w:tc>
          <w:tcPr>
            <w:tcW w:w="0" w:type="auto"/>
            <w:tcBorders>
              <w:top w:val="nil"/>
              <w:left w:val="nil"/>
              <w:bottom w:val="nil"/>
              <w:right w:val="nil"/>
            </w:tcBorders>
            <w:shd w:val="clear" w:color="auto" w:fill="auto"/>
            <w:vAlign w:val="center"/>
          </w:tcPr>
          <w:p w:rsidR="00F95A95" w:rsidRPr="00C06EA8" w:rsidRDefault="00F95A95" w:rsidP="00D846F0">
            <w:pPr>
              <w:pStyle w:val="15Tabletext"/>
              <w:rPr>
                <w:rFonts w:ascii="新細明體" w:hAnsi="新細明體"/>
                <w:color w:val="000000"/>
                <w:kern w:val="0"/>
                <w:szCs w:val="20"/>
              </w:rPr>
            </w:pPr>
            <w:r w:rsidRPr="00C06EA8">
              <w:rPr>
                <w:rFonts w:ascii="新細明體" w:hAnsi="新細明體" w:hint="eastAsia"/>
                <w:color w:val="000000"/>
                <w:kern w:val="0"/>
                <w:szCs w:val="20"/>
              </w:rPr>
              <w:t>運動防護</w:t>
            </w:r>
          </w:p>
        </w:tc>
        <w:tc>
          <w:tcPr>
            <w:tcW w:w="1810" w:type="dxa"/>
            <w:tcBorders>
              <w:top w:val="nil"/>
              <w:left w:val="nil"/>
              <w:bottom w:val="nil"/>
            </w:tcBorders>
            <w:shd w:val="clear" w:color="auto" w:fill="auto"/>
            <w:vAlign w:val="center"/>
          </w:tcPr>
          <w:p w:rsidR="00F95A95" w:rsidRPr="00C06EA8" w:rsidRDefault="00F95A95" w:rsidP="00D846F0">
            <w:pPr>
              <w:pStyle w:val="15Tabletext"/>
              <w:jc w:val="center"/>
              <w:rPr>
                <w:rFonts w:ascii="新細明體" w:hAnsi="新細明體" w:cs="Calibri"/>
                <w:color w:val="000000"/>
                <w:kern w:val="0"/>
                <w:szCs w:val="20"/>
              </w:rPr>
            </w:pPr>
            <w:r w:rsidRPr="00C06EA8">
              <w:rPr>
                <w:rFonts w:ascii="新細明體" w:hAnsi="新細明體" w:cs="Calibri"/>
                <w:color w:val="000000"/>
                <w:kern w:val="0"/>
                <w:szCs w:val="20"/>
              </w:rPr>
              <w:t>0.</w:t>
            </w:r>
            <w:r w:rsidRPr="00C06EA8">
              <w:rPr>
                <w:rFonts w:ascii="新細明體" w:hAnsi="新細明體" w:cs="Calibri" w:hint="eastAsia"/>
                <w:color w:val="000000"/>
                <w:kern w:val="0"/>
                <w:szCs w:val="20"/>
              </w:rPr>
              <w:t>702</w:t>
            </w:r>
          </w:p>
        </w:tc>
      </w:tr>
      <w:tr w:rsidR="00F95A95" w:rsidRPr="00C06EA8" w:rsidTr="003B17B9">
        <w:tc>
          <w:tcPr>
            <w:tcW w:w="0" w:type="auto"/>
            <w:tcBorders>
              <w:top w:val="nil"/>
              <w:left w:val="nil"/>
              <w:bottom w:val="single" w:sz="8" w:space="0" w:color="auto"/>
              <w:right w:val="nil"/>
            </w:tcBorders>
            <w:shd w:val="clear" w:color="auto" w:fill="auto"/>
            <w:vAlign w:val="center"/>
          </w:tcPr>
          <w:p w:rsidR="00F95A95" w:rsidRPr="00C06EA8" w:rsidRDefault="00F95A95" w:rsidP="00D846F0">
            <w:pPr>
              <w:pStyle w:val="15Tabletext"/>
              <w:rPr>
                <w:rFonts w:ascii="新細明體" w:hAnsi="新細明體"/>
                <w:color w:val="000000"/>
                <w:kern w:val="0"/>
                <w:szCs w:val="20"/>
              </w:rPr>
            </w:pPr>
            <w:r w:rsidRPr="00C06EA8">
              <w:rPr>
                <w:rFonts w:ascii="新細明體" w:hAnsi="新細明體" w:hint="eastAsia"/>
                <w:color w:val="000000"/>
                <w:kern w:val="0"/>
                <w:szCs w:val="20"/>
              </w:rPr>
              <w:t>品牌聯想</w:t>
            </w:r>
          </w:p>
        </w:tc>
        <w:tc>
          <w:tcPr>
            <w:tcW w:w="1810" w:type="dxa"/>
            <w:tcBorders>
              <w:top w:val="nil"/>
              <w:left w:val="nil"/>
              <w:bottom w:val="single" w:sz="8" w:space="0" w:color="auto"/>
            </w:tcBorders>
            <w:shd w:val="clear" w:color="auto" w:fill="auto"/>
            <w:vAlign w:val="center"/>
          </w:tcPr>
          <w:p w:rsidR="00F95A95" w:rsidRPr="00C06EA8" w:rsidRDefault="00F95A95" w:rsidP="00D846F0">
            <w:pPr>
              <w:pStyle w:val="15Tabletext"/>
              <w:jc w:val="center"/>
              <w:rPr>
                <w:rFonts w:ascii="新細明體" w:hAnsi="新細明體" w:cs="Calibri"/>
                <w:color w:val="000000"/>
                <w:kern w:val="0"/>
                <w:szCs w:val="20"/>
              </w:rPr>
            </w:pPr>
            <w:r w:rsidRPr="00C06EA8">
              <w:rPr>
                <w:rFonts w:ascii="新細明體" w:hAnsi="新細明體" w:cs="Calibri" w:hint="eastAsia"/>
                <w:color w:val="000000"/>
                <w:kern w:val="0"/>
                <w:szCs w:val="20"/>
              </w:rPr>
              <w:t>0.809</w:t>
            </w:r>
          </w:p>
        </w:tc>
      </w:tr>
    </w:tbl>
    <w:p w:rsidR="00C260B3" w:rsidRPr="00AF33DD" w:rsidRDefault="00C260B3" w:rsidP="00AF33DD">
      <w:pPr>
        <w:pStyle w:val="111"/>
      </w:pPr>
      <w:r w:rsidRPr="00AF33DD">
        <w:t>獨立樣本</w:t>
      </w:r>
      <w:r w:rsidRPr="00AF33DD">
        <w:t>T</w:t>
      </w:r>
      <w:r w:rsidRPr="00AF33DD">
        <w:t>檢定</w:t>
      </w:r>
    </w:p>
    <w:p w:rsidR="00C260B3" w:rsidRPr="00AF33DD" w:rsidRDefault="00F73EDC" w:rsidP="00F73EDC">
      <w:pPr>
        <w:pStyle w:val="09"/>
      </w:pPr>
      <w:bookmarkStart w:id="6" w:name="_Ref70659958"/>
      <w:r w:rsidRPr="00AF33DD">
        <w:rPr>
          <w:rFonts w:hint="eastAsia"/>
        </w:rPr>
        <w:t>表</w:t>
      </w:r>
      <w:r w:rsidRPr="00AF33DD">
        <w:rPr>
          <w:rFonts w:hint="eastAsia"/>
        </w:rPr>
        <w:t xml:space="preserve"> </w:t>
      </w:r>
      <w:r w:rsidRPr="00C06EA8">
        <w:rPr>
          <w:rFonts w:ascii="新細明體" w:hAnsi="新細明體"/>
          <w:szCs w:val="20"/>
        </w:rPr>
        <w:fldChar w:fldCharType="begin"/>
      </w:r>
      <w:r w:rsidRPr="00C06EA8">
        <w:rPr>
          <w:rFonts w:ascii="新細明體" w:hAnsi="新細明體"/>
          <w:szCs w:val="20"/>
        </w:rPr>
        <w:instrText xml:space="preserve"> </w:instrText>
      </w:r>
      <w:r w:rsidRPr="00C06EA8">
        <w:rPr>
          <w:rFonts w:ascii="新細明體" w:hAnsi="新細明體" w:hint="eastAsia"/>
          <w:szCs w:val="20"/>
        </w:rPr>
        <w:instrText>SEQ 表 \* ARABIC</w:instrText>
      </w:r>
      <w:r w:rsidRPr="00C06EA8">
        <w:rPr>
          <w:rFonts w:ascii="新細明體" w:hAnsi="新細明體"/>
          <w:szCs w:val="20"/>
        </w:rPr>
        <w:instrText xml:space="preserve"> </w:instrText>
      </w:r>
      <w:r w:rsidRPr="00C06EA8">
        <w:rPr>
          <w:rFonts w:ascii="新細明體" w:hAnsi="新細明體"/>
          <w:szCs w:val="20"/>
        </w:rPr>
        <w:fldChar w:fldCharType="separate"/>
      </w:r>
      <w:r w:rsidR="00C22847" w:rsidRPr="00C06EA8">
        <w:rPr>
          <w:rFonts w:ascii="新細明體" w:hAnsi="新細明體"/>
          <w:szCs w:val="20"/>
        </w:rPr>
        <w:t>3</w:t>
      </w:r>
      <w:r w:rsidRPr="00C06EA8">
        <w:rPr>
          <w:rFonts w:ascii="新細明體" w:hAnsi="新細明體"/>
          <w:szCs w:val="20"/>
        </w:rPr>
        <w:fldChar w:fldCharType="end"/>
      </w:r>
      <w:bookmarkEnd w:id="6"/>
      <w:r w:rsidR="00AD2782" w:rsidRPr="00AF33DD">
        <w:rPr>
          <w:rFonts w:hint="eastAsia"/>
        </w:rPr>
        <w:t>性別對運動防護</w:t>
      </w:r>
      <w:r w:rsidR="00C260B3" w:rsidRPr="00AF33DD">
        <w:rPr>
          <w:rFonts w:hint="eastAsia"/>
        </w:rPr>
        <w:t>之獨立樣本</w:t>
      </w:r>
      <w:r w:rsidR="00C260B3" w:rsidRPr="00AF33DD">
        <w:t>T</w:t>
      </w:r>
      <w:r w:rsidR="00C260B3" w:rsidRPr="00AF33DD">
        <w:rPr>
          <w:rFonts w:hint="eastAsia"/>
        </w:rPr>
        <w:t>檢定分析表</w:t>
      </w:r>
    </w:p>
    <w:tbl>
      <w:tblPr>
        <w:tblW w:w="5317" w:type="pct"/>
        <w:tblBorders>
          <w:top w:val="single" w:sz="8" w:space="0" w:color="auto"/>
          <w:bottom w:val="single" w:sz="8" w:space="0" w:color="auto"/>
        </w:tblBorders>
        <w:tblCellMar>
          <w:top w:w="57" w:type="dxa"/>
          <w:left w:w="57" w:type="dxa"/>
          <w:bottom w:w="57" w:type="dxa"/>
          <w:right w:w="57" w:type="dxa"/>
        </w:tblCellMar>
        <w:tblLook w:val="06A0" w:firstRow="1" w:lastRow="0" w:firstColumn="1" w:lastColumn="0" w:noHBand="1" w:noVBand="1"/>
      </w:tblPr>
      <w:tblGrid>
        <w:gridCol w:w="905"/>
        <w:gridCol w:w="908"/>
        <w:gridCol w:w="44"/>
        <w:gridCol w:w="867"/>
        <w:gridCol w:w="524"/>
        <w:gridCol w:w="524"/>
        <w:gridCol w:w="1126"/>
      </w:tblGrid>
      <w:tr w:rsidR="00C260B3" w:rsidRPr="00CD03DB" w:rsidTr="003B17B9">
        <w:tc>
          <w:tcPr>
            <w:tcW w:w="924" w:type="pct"/>
            <w:tcBorders>
              <w:top w:val="single" w:sz="8" w:space="0" w:color="000000"/>
              <w:left w:val="nil"/>
              <w:bottom w:val="single" w:sz="4" w:space="0" w:color="auto"/>
              <w:right w:val="nil"/>
            </w:tcBorders>
            <w:shd w:val="clear" w:color="auto" w:fill="auto"/>
            <w:hideMark/>
          </w:tcPr>
          <w:p w:rsidR="00C260B3" w:rsidRPr="00CD03DB" w:rsidRDefault="00C260B3" w:rsidP="00AF33DD">
            <w:pPr>
              <w:pStyle w:val="15Tabletext"/>
              <w:rPr>
                <w:sz w:val="18"/>
              </w:rPr>
            </w:pPr>
            <w:r w:rsidRPr="00CD03DB">
              <w:rPr>
                <w:rFonts w:hint="eastAsia"/>
                <w:sz w:val="18"/>
              </w:rPr>
              <w:t>構面</w:t>
            </w:r>
          </w:p>
        </w:tc>
        <w:tc>
          <w:tcPr>
            <w:tcW w:w="972" w:type="pct"/>
            <w:gridSpan w:val="2"/>
            <w:tcBorders>
              <w:top w:val="single" w:sz="8" w:space="0" w:color="000000"/>
              <w:left w:val="nil"/>
              <w:bottom w:val="single" w:sz="4" w:space="0" w:color="auto"/>
              <w:right w:val="nil"/>
            </w:tcBorders>
            <w:shd w:val="clear" w:color="auto" w:fill="auto"/>
            <w:hideMark/>
          </w:tcPr>
          <w:p w:rsidR="00C260B3" w:rsidRPr="00CD03DB" w:rsidRDefault="00C260B3" w:rsidP="00AF33DD">
            <w:pPr>
              <w:pStyle w:val="15Tabletext"/>
              <w:rPr>
                <w:sz w:val="18"/>
              </w:rPr>
            </w:pPr>
            <w:r w:rsidRPr="00CD03DB">
              <w:rPr>
                <w:rFonts w:hint="eastAsia"/>
                <w:sz w:val="18"/>
              </w:rPr>
              <w:t>男</w:t>
            </w:r>
            <w:r w:rsidRPr="00CD03DB">
              <w:rPr>
                <w:sz w:val="18"/>
              </w:rPr>
              <w:t>(</w:t>
            </w:r>
            <w:r w:rsidRPr="00CD03DB">
              <w:rPr>
                <w:rFonts w:hint="eastAsia"/>
                <w:sz w:val="18"/>
              </w:rPr>
              <w:t>平均</w:t>
            </w:r>
            <w:r w:rsidRPr="00CD03DB">
              <w:rPr>
                <w:sz w:val="18"/>
              </w:rPr>
              <w:t>)</w:t>
            </w:r>
          </w:p>
        </w:tc>
        <w:tc>
          <w:tcPr>
            <w:tcW w:w="885" w:type="pct"/>
            <w:tcBorders>
              <w:top w:val="single" w:sz="8" w:space="0" w:color="000000"/>
              <w:left w:val="nil"/>
              <w:bottom w:val="single" w:sz="4" w:space="0" w:color="auto"/>
              <w:right w:val="nil"/>
            </w:tcBorders>
            <w:shd w:val="clear" w:color="auto" w:fill="auto"/>
            <w:hideMark/>
          </w:tcPr>
          <w:p w:rsidR="00C260B3" w:rsidRPr="00CD03DB" w:rsidRDefault="00C260B3" w:rsidP="00AF33DD">
            <w:pPr>
              <w:pStyle w:val="15Tabletext"/>
              <w:rPr>
                <w:sz w:val="18"/>
              </w:rPr>
            </w:pPr>
            <w:r w:rsidRPr="00CD03DB">
              <w:rPr>
                <w:rFonts w:hint="eastAsia"/>
                <w:sz w:val="18"/>
              </w:rPr>
              <w:t>女</w:t>
            </w:r>
            <w:r w:rsidRPr="00CD03DB">
              <w:rPr>
                <w:sz w:val="18"/>
              </w:rPr>
              <w:t>(</w:t>
            </w:r>
            <w:r w:rsidRPr="00CD03DB">
              <w:rPr>
                <w:rFonts w:hint="eastAsia"/>
                <w:sz w:val="18"/>
              </w:rPr>
              <w:t>平均</w:t>
            </w:r>
            <w:r w:rsidRPr="00CD03DB">
              <w:rPr>
                <w:sz w:val="18"/>
              </w:rPr>
              <w:t>)</w:t>
            </w:r>
          </w:p>
        </w:tc>
        <w:tc>
          <w:tcPr>
            <w:tcW w:w="535" w:type="pct"/>
            <w:tcBorders>
              <w:top w:val="single" w:sz="8" w:space="0" w:color="000000"/>
              <w:left w:val="nil"/>
              <w:bottom w:val="single" w:sz="4" w:space="0" w:color="auto"/>
              <w:right w:val="nil"/>
            </w:tcBorders>
            <w:shd w:val="clear" w:color="auto" w:fill="auto"/>
            <w:hideMark/>
          </w:tcPr>
          <w:p w:rsidR="00C260B3" w:rsidRPr="00CD03DB" w:rsidRDefault="00C260B3" w:rsidP="00AF33DD">
            <w:pPr>
              <w:pStyle w:val="15Tabletext"/>
              <w:rPr>
                <w:sz w:val="18"/>
              </w:rPr>
            </w:pPr>
            <w:r w:rsidRPr="00CD03DB">
              <w:rPr>
                <w:sz w:val="18"/>
              </w:rPr>
              <w:t>T</w:t>
            </w:r>
            <w:r w:rsidRPr="00CD03DB">
              <w:rPr>
                <w:rFonts w:hint="eastAsia"/>
                <w:sz w:val="18"/>
              </w:rPr>
              <w:t>值</w:t>
            </w:r>
          </w:p>
        </w:tc>
        <w:tc>
          <w:tcPr>
            <w:tcW w:w="535" w:type="pct"/>
            <w:tcBorders>
              <w:top w:val="single" w:sz="8" w:space="0" w:color="000000"/>
              <w:left w:val="nil"/>
              <w:bottom w:val="single" w:sz="4" w:space="0" w:color="auto"/>
              <w:right w:val="nil"/>
            </w:tcBorders>
            <w:shd w:val="clear" w:color="auto" w:fill="auto"/>
            <w:hideMark/>
          </w:tcPr>
          <w:p w:rsidR="00C260B3" w:rsidRPr="00CD03DB" w:rsidRDefault="00C260B3" w:rsidP="00AF33DD">
            <w:pPr>
              <w:pStyle w:val="15Tabletext"/>
              <w:rPr>
                <w:sz w:val="18"/>
              </w:rPr>
            </w:pPr>
            <w:r w:rsidRPr="00CD03DB">
              <w:rPr>
                <w:sz w:val="18"/>
              </w:rPr>
              <w:t>P</w:t>
            </w:r>
            <w:r w:rsidRPr="00CD03DB">
              <w:rPr>
                <w:rFonts w:hint="eastAsia"/>
                <w:sz w:val="18"/>
              </w:rPr>
              <w:t>值</w:t>
            </w:r>
          </w:p>
        </w:tc>
        <w:tc>
          <w:tcPr>
            <w:tcW w:w="1149" w:type="pct"/>
            <w:tcBorders>
              <w:top w:val="single" w:sz="8" w:space="0" w:color="000000"/>
              <w:left w:val="nil"/>
              <w:bottom w:val="single" w:sz="4" w:space="0" w:color="auto"/>
              <w:right w:val="nil"/>
            </w:tcBorders>
            <w:shd w:val="clear" w:color="auto" w:fill="auto"/>
            <w:hideMark/>
          </w:tcPr>
          <w:p w:rsidR="00C260B3" w:rsidRPr="00CD03DB" w:rsidRDefault="00C260B3" w:rsidP="00AF33DD">
            <w:pPr>
              <w:pStyle w:val="15Tabletext"/>
              <w:rPr>
                <w:sz w:val="18"/>
              </w:rPr>
            </w:pPr>
            <w:r w:rsidRPr="00CD03DB">
              <w:rPr>
                <w:rFonts w:hint="eastAsia"/>
                <w:sz w:val="18"/>
              </w:rPr>
              <w:t>結論</w:t>
            </w:r>
          </w:p>
        </w:tc>
      </w:tr>
      <w:tr w:rsidR="00AD2782" w:rsidRPr="00CD03DB" w:rsidTr="00D846F0">
        <w:tc>
          <w:tcPr>
            <w:tcW w:w="924" w:type="pct"/>
            <w:tcBorders>
              <w:top w:val="nil"/>
              <w:left w:val="nil"/>
              <w:bottom w:val="single" w:sz="8" w:space="0" w:color="auto"/>
              <w:right w:val="nil"/>
            </w:tcBorders>
            <w:shd w:val="clear" w:color="auto" w:fill="auto"/>
            <w:vAlign w:val="center"/>
            <w:hideMark/>
          </w:tcPr>
          <w:p w:rsidR="00AD2782" w:rsidRPr="00CD03DB" w:rsidRDefault="00AD2782" w:rsidP="00AF33DD">
            <w:pPr>
              <w:pStyle w:val="15Tabletext"/>
              <w:rPr>
                <w:sz w:val="18"/>
              </w:rPr>
            </w:pPr>
            <w:r w:rsidRPr="00CD03DB">
              <w:rPr>
                <w:rFonts w:hint="eastAsia"/>
                <w:sz w:val="18"/>
              </w:rPr>
              <w:t>運動防護</w:t>
            </w:r>
          </w:p>
        </w:tc>
        <w:tc>
          <w:tcPr>
            <w:tcW w:w="927" w:type="pct"/>
            <w:tcBorders>
              <w:top w:val="nil"/>
              <w:left w:val="nil"/>
              <w:bottom w:val="single" w:sz="8" w:space="0" w:color="auto"/>
              <w:right w:val="nil"/>
            </w:tcBorders>
            <w:shd w:val="clear" w:color="auto" w:fill="auto"/>
            <w:vAlign w:val="center"/>
          </w:tcPr>
          <w:p w:rsidR="00AD2782" w:rsidRPr="00CD03DB" w:rsidRDefault="00AD2782" w:rsidP="00AF33DD">
            <w:pPr>
              <w:pStyle w:val="15Tabletext"/>
              <w:rPr>
                <w:sz w:val="18"/>
              </w:rPr>
            </w:pPr>
            <w:r w:rsidRPr="00CD03DB">
              <w:rPr>
                <w:sz w:val="18"/>
              </w:rPr>
              <w:t>3.99</w:t>
            </w:r>
          </w:p>
        </w:tc>
        <w:tc>
          <w:tcPr>
            <w:tcW w:w="930" w:type="pct"/>
            <w:gridSpan w:val="2"/>
            <w:tcBorders>
              <w:top w:val="nil"/>
              <w:left w:val="nil"/>
              <w:bottom w:val="single" w:sz="8" w:space="0" w:color="auto"/>
              <w:right w:val="nil"/>
            </w:tcBorders>
            <w:shd w:val="clear" w:color="auto" w:fill="auto"/>
            <w:vAlign w:val="center"/>
          </w:tcPr>
          <w:p w:rsidR="00AD2782" w:rsidRPr="00CD03DB" w:rsidRDefault="00AD2782" w:rsidP="00AF33DD">
            <w:pPr>
              <w:pStyle w:val="15Tabletext"/>
              <w:rPr>
                <w:sz w:val="18"/>
              </w:rPr>
            </w:pPr>
            <w:r w:rsidRPr="00CD03DB">
              <w:rPr>
                <w:sz w:val="18"/>
              </w:rPr>
              <w:t>3.62</w:t>
            </w:r>
          </w:p>
        </w:tc>
        <w:tc>
          <w:tcPr>
            <w:tcW w:w="535" w:type="pct"/>
            <w:tcBorders>
              <w:top w:val="nil"/>
              <w:left w:val="nil"/>
              <w:bottom w:val="single" w:sz="8" w:space="0" w:color="auto"/>
              <w:right w:val="nil"/>
            </w:tcBorders>
            <w:shd w:val="clear" w:color="auto" w:fill="auto"/>
            <w:vAlign w:val="center"/>
            <w:hideMark/>
          </w:tcPr>
          <w:p w:rsidR="00AD2782" w:rsidRPr="00CD03DB" w:rsidRDefault="00AD2782" w:rsidP="00AF33DD">
            <w:pPr>
              <w:pStyle w:val="15Tabletext"/>
              <w:rPr>
                <w:sz w:val="18"/>
              </w:rPr>
            </w:pPr>
            <w:r w:rsidRPr="00CD03DB">
              <w:rPr>
                <w:sz w:val="18"/>
              </w:rPr>
              <w:t>4.731</w:t>
            </w:r>
          </w:p>
        </w:tc>
        <w:tc>
          <w:tcPr>
            <w:tcW w:w="535" w:type="pct"/>
            <w:tcBorders>
              <w:top w:val="nil"/>
              <w:left w:val="nil"/>
              <w:bottom w:val="single" w:sz="8" w:space="0" w:color="auto"/>
              <w:right w:val="nil"/>
            </w:tcBorders>
            <w:shd w:val="clear" w:color="auto" w:fill="auto"/>
            <w:vAlign w:val="center"/>
            <w:hideMark/>
          </w:tcPr>
          <w:p w:rsidR="00AD2782" w:rsidRPr="00CD03DB" w:rsidRDefault="00AD2782" w:rsidP="00AF33DD">
            <w:pPr>
              <w:pStyle w:val="15Tabletext"/>
              <w:rPr>
                <w:sz w:val="18"/>
              </w:rPr>
            </w:pPr>
            <w:r w:rsidRPr="00CD03DB">
              <w:rPr>
                <w:sz w:val="18"/>
              </w:rPr>
              <w:t>0.000</w:t>
            </w:r>
          </w:p>
        </w:tc>
        <w:tc>
          <w:tcPr>
            <w:tcW w:w="1149" w:type="pct"/>
            <w:tcBorders>
              <w:top w:val="nil"/>
              <w:left w:val="nil"/>
              <w:bottom w:val="single" w:sz="8" w:space="0" w:color="auto"/>
              <w:right w:val="nil"/>
            </w:tcBorders>
            <w:shd w:val="clear" w:color="auto" w:fill="auto"/>
            <w:vAlign w:val="center"/>
            <w:hideMark/>
          </w:tcPr>
          <w:p w:rsidR="00AD2782" w:rsidRPr="00CD03DB" w:rsidRDefault="00AD2782" w:rsidP="00AF33DD">
            <w:pPr>
              <w:pStyle w:val="15Tabletext"/>
              <w:rPr>
                <w:sz w:val="18"/>
              </w:rPr>
            </w:pPr>
            <w:r w:rsidRPr="00CD03DB">
              <w:rPr>
                <w:rFonts w:hint="eastAsia"/>
                <w:sz w:val="18"/>
              </w:rPr>
              <w:t>有顯著差異</w:t>
            </w:r>
          </w:p>
        </w:tc>
      </w:tr>
    </w:tbl>
    <w:p w:rsidR="00AD2782" w:rsidRPr="00AF33DD" w:rsidRDefault="00AD2782" w:rsidP="00AF33DD">
      <w:pPr>
        <w:pStyle w:val="09"/>
        <w:sectPr w:rsidR="00AD2782" w:rsidRPr="00AF33DD" w:rsidSect="00F7198D">
          <w:type w:val="continuous"/>
          <w:pgSz w:w="11906" w:h="16838"/>
          <w:pgMar w:top="1418" w:right="1134" w:bottom="1418" w:left="1134" w:header="851" w:footer="992" w:gutter="0"/>
          <w:cols w:num="2" w:space="425"/>
          <w:docGrid w:type="lines" w:linePitch="360"/>
        </w:sectPr>
      </w:pPr>
    </w:p>
    <w:p w:rsidR="00AD2782" w:rsidRPr="00AF33DD" w:rsidRDefault="00F73EDC" w:rsidP="00AF33DD">
      <w:pPr>
        <w:pStyle w:val="09"/>
      </w:pPr>
      <w:bookmarkStart w:id="7" w:name="_Ref70659970"/>
      <w:r w:rsidRPr="00AF33DD">
        <w:rPr>
          <w:rFonts w:hint="eastAsia"/>
        </w:rPr>
        <w:t>表</w:t>
      </w:r>
      <w:r w:rsidRPr="00AF33DD">
        <w:rPr>
          <w:rFonts w:hint="eastAsia"/>
        </w:rPr>
        <w:t xml:space="preserve"> </w:t>
      </w:r>
      <w:r w:rsidRPr="00C06EA8">
        <w:fldChar w:fldCharType="begin"/>
      </w:r>
      <w:r w:rsidRPr="00C06EA8">
        <w:instrText xml:space="preserve"> </w:instrText>
      </w:r>
      <w:r w:rsidRPr="00C06EA8">
        <w:rPr>
          <w:rFonts w:hint="eastAsia"/>
        </w:rPr>
        <w:instrText xml:space="preserve">SEQ </w:instrText>
      </w:r>
      <w:r w:rsidRPr="00C06EA8">
        <w:rPr>
          <w:rFonts w:hint="eastAsia"/>
        </w:rPr>
        <w:instrText>表</w:instrText>
      </w:r>
      <w:r w:rsidRPr="00C06EA8">
        <w:rPr>
          <w:rFonts w:hint="eastAsia"/>
        </w:rPr>
        <w:instrText xml:space="preserve"> \* ARABIC</w:instrText>
      </w:r>
      <w:r w:rsidRPr="00C06EA8">
        <w:instrText xml:space="preserve"> </w:instrText>
      </w:r>
      <w:r w:rsidRPr="00C06EA8">
        <w:fldChar w:fldCharType="separate"/>
      </w:r>
      <w:r w:rsidR="00C22847" w:rsidRPr="00C06EA8">
        <w:t>4</w:t>
      </w:r>
      <w:r w:rsidRPr="00C06EA8">
        <w:fldChar w:fldCharType="end"/>
      </w:r>
      <w:bookmarkEnd w:id="7"/>
      <w:r w:rsidR="00AD2782" w:rsidRPr="00AF33DD">
        <w:rPr>
          <w:rFonts w:hint="eastAsia"/>
        </w:rPr>
        <w:t>是否有在關注運動品牌鞋類資訊</w:t>
      </w:r>
      <w:r w:rsidR="006A61D8" w:rsidRPr="00AF33DD">
        <w:rPr>
          <w:rFonts w:hint="eastAsia"/>
        </w:rPr>
        <w:t>對購買意願</w:t>
      </w:r>
      <w:r w:rsidR="00AD2782" w:rsidRPr="00AF33DD">
        <w:rPr>
          <w:rFonts w:hint="eastAsia"/>
        </w:rPr>
        <w:t>之獨立樣本</w:t>
      </w:r>
      <w:r w:rsidR="00AD2782" w:rsidRPr="00AF33DD">
        <w:t>T</w:t>
      </w:r>
      <w:r w:rsidR="00AD2782" w:rsidRPr="00AF33DD">
        <w:rPr>
          <w:rFonts w:hint="eastAsia"/>
        </w:rPr>
        <w:t>檢定分析表</w:t>
      </w:r>
    </w:p>
    <w:tbl>
      <w:tblPr>
        <w:tblW w:w="5000" w:type="pct"/>
        <w:tblBorders>
          <w:top w:val="single" w:sz="8" w:space="0" w:color="auto"/>
          <w:bottom w:val="single" w:sz="8" w:space="0" w:color="auto"/>
        </w:tblBorders>
        <w:tblCellMar>
          <w:top w:w="57" w:type="dxa"/>
          <w:left w:w="57" w:type="dxa"/>
          <w:bottom w:w="57" w:type="dxa"/>
          <w:right w:w="57" w:type="dxa"/>
        </w:tblCellMar>
        <w:tblLook w:val="06A0" w:firstRow="1" w:lastRow="0" w:firstColumn="1" w:lastColumn="0" w:noHBand="1" w:noVBand="1"/>
      </w:tblPr>
      <w:tblGrid>
        <w:gridCol w:w="3174"/>
        <w:gridCol w:w="1193"/>
        <w:gridCol w:w="1153"/>
        <w:gridCol w:w="1064"/>
        <w:gridCol w:w="1051"/>
        <w:gridCol w:w="2003"/>
      </w:tblGrid>
      <w:tr w:rsidR="00AD2782" w:rsidRPr="00CD03DB" w:rsidTr="003B17B9">
        <w:tc>
          <w:tcPr>
            <w:tcW w:w="1647" w:type="pct"/>
            <w:tcBorders>
              <w:top w:val="single" w:sz="8" w:space="0" w:color="000000"/>
              <w:left w:val="nil"/>
              <w:bottom w:val="single" w:sz="4" w:space="0" w:color="auto"/>
              <w:right w:val="nil"/>
            </w:tcBorders>
            <w:shd w:val="clear" w:color="auto" w:fill="auto"/>
            <w:hideMark/>
          </w:tcPr>
          <w:p w:rsidR="00AD2782" w:rsidRPr="00CD03DB" w:rsidRDefault="00AD2782" w:rsidP="00CD03DB">
            <w:pPr>
              <w:pStyle w:val="15Tabletext"/>
              <w:rPr>
                <w:sz w:val="18"/>
              </w:rPr>
            </w:pPr>
            <w:r w:rsidRPr="00CD03DB">
              <w:rPr>
                <w:rFonts w:hint="eastAsia"/>
                <w:sz w:val="18"/>
              </w:rPr>
              <w:t>構面</w:t>
            </w:r>
          </w:p>
        </w:tc>
        <w:tc>
          <w:tcPr>
            <w:tcW w:w="619" w:type="pct"/>
            <w:tcBorders>
              <w:top w:val="single" w:sz="8" w:space="0" w:color="000000"/>
              <w:left w:val="nil"/>
              <w:bottom w:val="single" w:sz="4" w:space="0" w:color="auto"/>
              <w:right w:val="nil"/>
            </w:tcBorders>
            <w:shd w:val="clear" w:color="auto" w:fill="auto"/>
            <w:hideMark/>
          </w:tcPr>
          <w:p w:rsidR="00AD2782" w:rsidRPr="00CD03DB" w:rsidRDefault="00AD2782" w:rsidP="00CD03DB">
            <w:pPr>
              <w:pStyle w:val="15Tabletext"/>
              <w:rPr>
                <w:sz w:val="18"/>
              </w:rPr>
            </w:pPr>
            <w:r w:rsidRPr="00CD03DB">
              <w:rPr>
                <w:rFonts w:hint="eastAsia"/>
                <w:sz w:val="18"/>
              </w:rPr>
              <w:t>是</w:t>
            </w:r>
            <w:r w:rsidRPr="00CD03DB">
              <w:rPr>
                <w:sz w:val="18"/>
              </w:rPr>
              <w:t>(</w:t>
            </w:r>
            <w:r w:rsidRPr="00CD03DB">
              <w:rPr>
                <w:rFonts w:hint="eastAsia"/>
                <w:sz w:val="18"/>
              </w:rPr>
              <w:t>平均</w:t>
            </w:r>
            <w:r w:rsidRPr="00CD03DB">
              <w:rPr>
                <w:sz w:val="18"/>
              </w:rPr>
              <w:t>)</w:t>
            </w:r>
          </w:p>
        </w:tc>
        <w:tc>
          <w:tcPr>
            <w:tcW w:w="598" w:type="pct"/>
            <w:tcBorders>
              <w:top w:val="single" w:sz="8" w:space="0" w:color="000000"/>
              <w:left w:val="nil"/>
              <w:bottom w:val="single" w:sz="4" w:space="0" w:color="auto"/>
              <w:right w:val="nil"/>
            </w:tcBorders>
            <w:shd w:val="clear" w:color="auto" w:fill="auto"/>
            <w:hideMark/>
          </w:tcPr>
          <w:p w:rsidR="00AD2782" w:rsidRPr="00CD03DB" w:rsidRDefault="00AD2782" w:rsidP="00CD03DB">
            <w:pPr>
              <w:pStyle w:val="15Tabletext"/>
              <w:rPr>
                <w:sz w:val="18"/>
              </w:rPr>
            </w:pPr>
            <w:r w:rsidRPr="00CD03DB">
              <w:rPr>
                <w:rFonts w:hint="eastAsia"/>
                <w:sz w:val="18"/>
              </w:rPr>
              <w:t>否</w:t>
            </w:r>
            <w:r w:rsidRPr="00CD03DB">
              <w:rPr>
                <w:sz w:val="18"/>
              </w:rPr>
              <w:t>(</w:t>
            </w:r>
            <w:r w:rsidRPr="00CD03DB">
              <w:rPr>
                <w:rFonts w:hint="eastAsia"/>
                <w:sz w:val="18"/>
              </w:rPr>
              <w:t>平均</w:t>
            </w:r>
            <w:r w:rsidRPr="00CD03DB">
              <w:rPr>
                <w:sz w:val="18"/>
              </w:rPr>
              <w:t>)</w:t>
            </w:r>
          </w:p>
        </w:tc>
        <w:tc>
          <w:tcPr>
            <w:tcW w:w="552" w:type="pct"/>
            <w:tcBorders>
              <w:top w:val="single" w:sz="8" w:space="0" w:color="000000"/>
              <w:left w:val="nil"/>
              <w:bottom w:val="single" w:sz="4" w:space="0" w:color="auto"/>
              <w:right w:val="nil"/>
            </w:tcBorders>
            <w:shd w:val="clear" w:color="auto" w:fill="auto"/>
            <w:hideMark/>
          </w:tcPr>
          <w:p w:rsidR="00AD2782" w:rsidRPr="00CD03DB" w:rsidRDefault="00AD2782" w:rsidP="00CD03DB">
            <w:pPr>
              <w:pStyle w:val="15Tabletext"/>
              <w:rPr>
                <w:sz w:val="18"/>
              </w:rPr>
            </w:pPr>
            <w:r w:rsidRPr="00CD03DB">
              <w:rPr>
                <w:sz w:val="18"/>
              </w:rPr>
              <w:t>T</w:t>
            </w:r>
            <w:r w:rsidRPr="00CD03DB">
              <w:rPr>
                <w:rFonts w:hint="eastAsia"/>
                <w:sz w:val="18"/>
              </w:rPr>
              <w:t>值</w:t>
            </w:r>
          </w:p>
        </w:tc>
        <w:tc>
          <w:tcPr>
            <w:tcW w:w="545" w:type="pct"/>
            <w:tcBorders>
              <w:top w:val="single" w:sz="8" w:space="0" w:color="000000"/>
              <w:left w:val="nil"/>
              <w:bottom w:val="single" w:sz="4" w:space="0" w:color="auto"/>
              <w:right w:val="nil"/>
            </w:tcBorders>
            <w:shd w:val="clear" w:color="auto" w:fill="auto"/>
            <w:hideMark/>
          </w:tcPr>
          <w:p w:rsidR="00AD2782" w:rsidRPr="00CD03DB" w:rsidRDefault="00AD2782" w:rsidP="00CD03DB">
            <w:pPr>
              <w:pStyle w:val="15Tabletext"/>
              <w:rPr>
                <w:sz w:val="18"/>
              </w:rPr>
            </w:pPr>
            <w:r w:rsidRPr="00CD03DB">
              <w:rPr>
                <w:sz w:val="18"/>
              </w:rPr>
              <w:t>P</w:t>
            </w:r>
            <w:r w:rsidRPr="00CD03DB">
              <w:rPr>
                <w:rFonts w:hint="eastAsia"/>
                <w:sz w:val="18"/>
              </w:rPr>
              <w:t>值</w:t>
            </w:r>
          </w:p>
        </w:tc>
        <w:tc>
          <w:tcPr>
            <w:tcW w:w="1039" w:type="pct"/>
            <w:tcBorders>
              <w:top w:val="single" w:sz="8" w:space="0" w:color="000000"/>
              <w:left w:val="nil"/>
              <w:bottom w:val="single" w:sz="4" w:space="0" w:color="auto"/>
              <w:right w:val="nil"/>
            </w:tcBorders>
            <w:shd w:val="clear" w:color="auto" w:fill="auto"/>
            <w:hideMark/>
          </w:tcPr>
          <w:p w:rsidR="00AD2782" w:rsidRPr="00CD03DB" w:rsidRDefault="00AD2782" w:rsidP="00CD03DB">
            <w:pPr>
              <w:pStyle w:val="15Tabletext"/>
              <w:rPr>
                <w:sz w:val="18"/>
              </w:rPr>
            </w:pPr>
            <w:r w:rsidRPr="00CD03DB">
              <w:rPr>
                <w:rFonts w:hint="eastAsia"/>
                <w:sz w:val="18"/>
              </w:rPr>
              <w:t>結論</w:t>
            </w:r>
          </w:p>
        </w:tc>
      </w:tr>
      <w:tr w:rsidR="00AD2782" w:rsidRPr="00CD03DB" w:rsidTr="003B17B9">
        <w:tc>
          <w:tcPr>
            <w:tcW w:w="1647" w:type="pct"/>
            <w:tcBorders>
              <w:top w:val="single" w:sz="4" w:space="0" w:color="auto"/>
              <w:left w:val="nil"/>
              <w:bottom w:val="nil"/>
              <w:right w:val="nil"/>
            </w:tcBorders>
            <w:shd w:val="clear" w:color="auto" w:fill="auto"/>
            <w:vAlign w:val="center"/>
            <w:hideMark/>
          </w:tcPr>
          <w:p w:rsidR="00AD2782" w:rsidRPr="00CD03DB" w:rsidRDefault="00AD2782" w:rsidP="00CD03DB">
            <w:pPr>
              <w:pStyle w:val="15Tabletext"/>
              <w:rPr>
                <w:sz w:val="18"/>
              </w:rPr>
            </w:pPr>
            <w:r w:rsidRPr="00CD03DB">
              <w:rPr>
                <w:rFonts w:hint="eastAsia"/>
                <w:sz w:val="18"/>
              </w:rPr>
              <w:t>購買意願</w:t>
            </w:r>
            <w:r w:rsidRPr="00CD03DB">
              <w:rPr>
                <w:sz w:val="18"/>
              </w:rPr>
              <w:t xml:space="preserve">1: </w:t>
            </w:r>
            <w:r w:rsidRPr="00CD03DB">
              <w:rPr>
                <w:rFonts w:hint="eastAsia"/>
                <w:sz w:val="18"/>
              </w:rPr>
              <w:t>款式多樣化</w:t>
            </w:r>
          </w:p>
        </w:tc>
        <w:tc>
          <w:tcPr>
            <w:tcW w:w="619" w:type="pct"/>
            <w:tcBorders>
              <w:top w:val="single" w:sz="4" w:space="0" w:color="auto"/>
              <w:left w:val="nil"/>
              <w:bottom w:val="nil"/>
              <w:right w:val="nil"/>
            </w:tcBorders>
            <w:shd w:val="clear" w:color="auto" w:fill="auto"/>
            <w:hideMark/>
          </w:tcPr>
          <w:p w:rsidR="00AD2782" w:rsidRPr="00CD03DB" w:rsidRDefault="00AD2782" w:rsidP="00CD03DB">
            <w:pPr>
              <w:pStyle w:val="15Tabletext"/>
              <w:rPr>
                <w:sz w:val="18"/>
              </w:rPr>
            </w:pPr>
            <w:r w:rsidRPr="00CD03DB">
              <w:rPr>
                <w:sz w:val="18"/>
              </w:rPr>
              <w:t>4.08</w:t>
            </w:r>
          </w:p>
        </w:tc>
        <w:tc>
          <w:tcPr>
            <w:tcW w:w="598" w:type="pct"/>
            <w:tcBorders>
              <w:top w:val="single" w:sz="4" w:space="0" w:color="auto"/>
              <w:left w:val="nil"/>
              <w:bottom w:val="nil"/>
              <w:right w:val="nil"/>
            </w:tcBorders>
            <w:shd w:val="clear" w:color="auto" w:fill="auto"/>
            <w:hideMark/>
          </w:tcPr>
          <w:p w:rsidR="00AD2782" w:rsidRPr="00CD03DB" w:rsidRDefault="00AD2782" w:rsidP="00CD03DB">
            <w:pPr>
              <w:pStyle w:val="15Tabletext"/>
              <w:rPr>
                <w:sz w:val="18"/>
              </w:rPr>
            </w:pPr>
            <w:r w:rsidRPr="00CD03DB">
              <w:rPr>
                <w:sz w:val="18"/>
              </w:rPr>
              <w:t>3.83</w:t>
            </w:r>
          </w:p>
        </w:tc>
        <w:tc>
          <w:tcPr>
            <w:tcW w:w="552" w:type="pct"/>
            <w:tcBorders>
              <w:top w:val="single" w:sz="4" w:space="0" w:color="auto"/>
              <w:left w:val="nil"/>
              <w:bottom w:val="nil"/>
              <w:right w:val="nil"/>
            </w:tcBorders>
            <w:shd w:val="clear" w:color="auto" w:fill="auto"/>
            <w:vAlign w:val="center"/>
            <w:hideMark/>
          </w:tcPr>
          <w:p w:rsidR="00AD2782" w:rsidRPr="00CD03DB" w:rsidRDefault="00AD2782" w:rsidP="00CD03DB">
            <w:pPr>
              <w:pStyle w:val="15Tabletext"/>
              <w:rPr>
                <w:sz w:val="18"/>
              </w:rPr>
            </w:pPr>
            <w:r w:rsidRPr="00CD03DB">
              <w:rPr>
                <w:sz w:val="18"/>
              </w:rPr>
              <w:t>3.304</w:t>
            </w:r>
          </w:p>
        </w:tc>
        <w:tc>
          <w:tcPr>
            <w:tcW w:w="545" w:type="pct"/>
            <w:tcBorders>
              <w:top w:val="single" w:sz="4" w:space="0" w:color="auto"/>
              <w:left w:val="nil"/>
              <w:bottom w:val="nil"/>
              <w:right w:val="nil"/>
            </w:tcBorders>
            <w:shd w:val="clear" w:color="auto" w:fill="auto"/>
            <w:vAlign w:val="center"/>
            <w:hideMark/>
          </w:tcPr>
          <w:p w:rsidR="00AD2782" w:rsidRPr="00CD03DB" w:rsidRDefault="00AD2782" w:rsidP="00CD03DB">
            <w:pPr>
              <w:pStyle w:val="15Tabletext"/>
              <w:rPr>
                <w:sz w:val="18"/>
              </w:rPr>
            </w:pPr>
            <w:r w:rsidRPr="00CD03DB">
              <w:rPr>
                <w:sz w:val="18"/>
              </w:rPr>
              <w:t>0.001</w:t>
            </w:r>
          </w:p>
        </w:tc>
        <w:tc>
          <w:tcPr>
            <w:tcW w:w="1039" w:type="pct"/>
            <w:tcBorders>
              <w:top w:val="single" w:sz="4" w:space="0" w:color="auto"/>
              <w:left w:val="nil"/>
              <w:bottom w:val="nil"/>
              <w:right w:val="nil"/>
            </w:tcBorders>
            <w:shd w:val="clear" w:color="auto" w:fill="auto"/>
            <w:vAlign w:val="center"/>
            <w:hideMark/>
          </w:tcPr>
          <w:p w:rsidR="00AD2782" w:rsidRPr="00CD03DB" w:rsidRDefault="00AD2782" w:rsidP="00CD03DB">
            <w:pPr>
              <w:pStyle w:val="15Tabletext"/>
              <w:rPr>
                <w:sz w:val="18"/>
              </w:rPr>
            </w:pPr>
            <w:r w:rsidRPr="00CD03DB">
              <w:rPr>
                <w:rFonts w:hint="eastAsia"/>
                <w:sz w:val="18"/>
              </w:rPr>
              <w:t>有顯著差異</w:t>
            </w:r>
          </w:p>
        </w:tc>
      </w:tr>
      <w:tr w:rsidR="00AD2782" w:rsidRPr="00CD03DB" w:rsidTr="003B17B9">
        <w:tc>
          <w:tcPr>
            <w:tcW w:w="1647" w:type="pct"/>
            <w:tcBorders>
              <w:top w:val="nil"/>
              <w:left w:val="nil"/>
              <w:bottom w:val="nil"/>
              <w:right w:val="nil"/>
            </w:tcBorders>
            <w:shd w:val="clear" w:color="auto" w:fill="auto"/>
            <w:vAlign w:val="center"/>
            <w:hideMark/>
          </w:tcPr>
          <w:p w:rsidR="00AD2782" w:rsidRPr="00CD03DB" w:rsidRDefault="00AD2782" w:rsidP="00CD03DB">
            <w:pPr>
              <w:pStyle w:val="15Tabletext"/>
              <w:rPr>
                <w:sz w:val="18"/>
              </w:rPr>
            </w:pPr>
            <w:r w:rsidRPr="00CD03DB">
              <w:rPr>
                <w:rFonts w:hint="eastAsia"/>
                <w:sz w:val="18"/>
              </w:rPr>
              <w:lastRenderedPageBreak/>
              <w:t>購買意願</w:t>
            </w:r>
            <w:r w:rsidRPr="00CD03DB">
              <w:rPr>
                <w:sz w:val="18"/>
              </w:rPr>
              <w:t xml:space="preserve">2: </w:t>
            </w:r>
            <w:r w:rsidRPr="00CD03DB">
              <w:rPr>
                <w:rFonts w:hint="eastAsia"/>
                <w:sz w:val="18"/>
              </w:rPr>
              <w:t>未來購買更多產品</w:t>
            </w:r>
          </w:p>
        </w:tc>
        <w:tc>
          <w:tcPr>
            <w:tcW w:w="619" w:type="pct"/>
            <w:tcBorders>
              <w:top w:val="nil"/>
              <w:left w:val="nil"/>
              <w:bottom w:val="nil"/>
              <w:right w:val="nil"/>
            </w:tcBorders>
            <w:shd w:val="clear" w:color="auto" w:fill="auto"/>
            <w:hideMark/>
          </w:tcPr>
          <w:p w:rsidR="00AD2782" w:rsidRPr="00CD03DB" w:rsidRDefault="00AD2782" w:rsidP="00CD03DB">
            <w:pPr>
              <w:pStyle w:val="15Tabletext"/>
              <w:rPr>
                <w:sz w:val="18"/>
              </w:rPr>
            </w:pPr>
            <w:r w:rsidRPr="00CD03DB">
              <w:rPr>
                <w:sz w:val="18"/>
              </w:rPr>
              <w:t>4.02</w:t>
            </w:r>
          </w:p>
        </w:tc>
        <w:tc>
          <w:tcPr>
            <w:tcW w:w="598" w:type="pct"/>
            <w:tcBorders>
              <w:top w:val="nil"/>
              <w:left w:val="nil"/>
              <w:bottom w:val="nil"/>
              <w:right w:val="nil"/>
            </w:tcBorders>
            <w:shd w:val="clear" w:color="auto" w:fill="auto"/>
            <w:hideMark/>
          </w:tcPr>
          <w:p w:rsidR="00AD2782" w:rsidRPr="00CD03DB" w:rsidRDefault="00AD2782" w:rsidP="00CD03DB">
            <w:pPr>
              <w:pStyle w:val="15Tabletext"/>
              <w:rPr>
                <w:sz w:val="18"/>
              </w:rPr>
            </w:pPr>
            <w:r w:rsidRPr="00CD03DB">
              <w:rPr>
                <w:sz w:val="18"/>
              </w:rPr>
              <w:t>3.57</w:t>
            </w:r>
          </w:p>
        </w:tc>
        <w:tc>
          <w:tcPr>
            <w:tcW w:w="552" w:type="pct"/>
            <w:tcBorders>
              <w:top w:val="nil"/>
              <w:left w:val="nil"/>
              <w:bottom w:val="nil"/>
              <w:right w:val="nil"/>
            </w:tcBorders>
            <w:shd w:val="clear" w:color="auto" w:fill="auto"/>
            <w:vAlign w:val="center"/>
            <w:hideMark/>
          </w:tcPr>
          <w:p w:rsidR="00AD2782" w:rsidRPr="00CD03DB" w:rsidRDefault="00AD2782" w:rsidP="00CD03DB">
            <w:pPr>
              <w:pStyle w:val="15Tabletext"/>
              <w:rPr>
                <w:sz w:val="18"/>
              </w:rPr>
            </w:pPr>
            <w:r w:rsidRPr="00CD03DB">
              <w:rPr>
                <w:sz w:val="18"/>
              </w:rPr>
              <w:t>5.323</w:t>
            </w:r>
          </w:p>
        </w:tc>
        <w:tc>
          <w:tcPr>
            <w:tcW w:w="545" w:type="pct"/>
            <w:tcBorders>
              <w:top w:val="nil"/>
              <w:left w:val="nil"/>
              <w:bottom w:val="nil"/>
              <w:right w:val="nil"/>
            </w:tcBorders>
            <w:shd w:val="clear" w:color="auto" w:fill="auto"/>
            <w:vAlign w:val="center"/>
            <w:hideMark/>
          </w:tcPr>
          <w:p w:rsidR="00AD2782" w:rsidRPr="00CD03DB" w:rsidRDefault="00AD2782" w:rsidP="00CD03DB">
            <w:pPr>
              <w:pStyle w:val="15Tabletext"/>
              <w:rPr>
                <w:sz w:val="18"/>
              </w:rPr>
            </w:pPr>
            <w:r w:rsidRPr="00CD03DB">
              <w:rPr>
                <w:sz w:val="18"/>
              </w:rPr>
              <w:t>0.000</w:t>
            </w:r>
          </w:p>
        </w:tc>
        <w:tc>
          <w:tcPr>
            <w:tcW w:w="1039" w:type="pct"/>
            <w:tcBorders>
              <w:top w:val="nil"/>
              <w:left w:val="nil"/>
              <w:bottom w:val="nil"/>
              <w:right w:val="nil"/>
            </w:tcBorders>
            <w:shd w:val="clear" w:color="auto" w:fill="auto"/>
            <w:vAlign w:val="center"/>
            <w:hideMark/>
          </w:tcPr>
          <w:p w:rsidR="00AD2782" w:rsidRPr="00CD03DB" w:rsidRDefault="00AD2782" w:rsidP="00CD03DB">
            <w:pPr>
              <w:pStyle w:val="15Tabletext"/>
              <w:rPr>
                <w:sz w:val="18"/>
              </w:rPr>
            </w:pPr>
            <w:r w:rsidRPr="00CD03DB">
              <w:rPr>
                <w:rFonts w:hint="eastAsia"/>
                <w:sz w:val="18"/>
              </w:rPr>
              <w:t>有顯著差異</w:t>
            </w:r>
          </w:p>
        </w:tc>
      </w:tr>
      <w:tr w:rsidR="00AD2782" w:rsidRPr="00CD03DB" w:rsidTr="003B17B9">
        <w:tc>
          <w:tcPr>
            <w:tcW w:w="1647" w:type="pct"/>
            <w:tcBorders>
              <w:top w:val="nil"/>
              <w:left w:val="nil"/>
              <w:bottom w:val="single" w:sz="8" w:space="0" w:color="auto"/>
              <w:right w:val="nil"/>
            </w:tcBorders>
            <w:shd w:val="clear" w:color="auto" w:fill="auto"/>
            <w:vAlign w:val="center"/>
            <w:hideMark/>
          </w:tcPr>
          <w:p w:rsidR="00AD2782" w:rsidRPr="00CD03DB" w:rsidRDefault="00AD2782" w:rsidP="00CD03DB">
            <w:pPr>
              <w:pStyle w:val="15Tabletext"/>
              <w:rPr>
                <w:sz w:val="18"/>
              </w:rPr>
            </w:pPr>
            <w:r w:rsidRPr="00CD03DB">
              <w:rPr>
                <w:rFonts w:hint="eastAsia"/>
                <w:sz w:val="18"/>
              </w:rPr>
              <w:t>購買意願</w:t>
            </w:r>
            <w:r w:rsidRPr="00CD03DB">
              <w:rPr>
                <w:sz w:val="18"/>
              </w:rPr>
              <w:t xml:space="preserve">3: </w:t>
            </w:r>
            <w:r w:rsidRPr="00CD03DB">
              <w:rPr>
                <w:rFonts w:hint="eastAsia"/>
                <w:sz w:val="18"/>
              </w:rPr>
              <w:t>與他人推薦</w:t>
            </w:r>
          </w:p>
        </w:tc>
        <w:tc>
          <w:tcPr>
            <w:tcW w:w="619" w:type="pct"/>
            <w:tcBorders>
              <w:top w:val="nil"/>
              <w:left w:val="nil"/>
              <w:bottom w:val="single" w:sz="8" w:space="0" w:color="auto"/>
              <w:right w:val="nil"/>
            </w:tcBorders>
            <w:shd w:val="clear" w:color="auto" w:fill="auto"/>
            <w:hideMark/>
          </w:tcPr>
          <w:p w:rsidR="00AD2782" w:rsidRPr="00CD03DB" w:rsidRDefault="00AD2782" w:rsidP="00CD03DB">
            <w:pPr>
              <w:pStyle w:val="15Tabletext"/>
              <w:rPr>
                <w:sz w:val="18"/>
              </w:rPr>
            </w:pPr>
            <w:r w:rsidRPr="00CD03DB">
              <w:rPr>
                <w:sz w:val="18"/>
              </w:rPr>
              <w:t>3.78</w:t>
            </w:r>
          </w:p>
        </w:tc>
        <w:tc>
          <w:tcPr>
            <w:tcW w:w="598" w:type="pct"/>
            <w:tcBorders>
              <w:top w:val="nil"/>
              <w:left w:val="nil"/>
              <w:bottom w:val="single" w:sz="8" w:space="0" w:color="auto"/>
              <w:right w:val="nil"/>
            </w:tcBorders>
            <w:shd w:val="clear" w:color="auto" w:fill="auto"/>
            <w:hideMark/>
          </w:tcPr>
          <w:p w:rsidR="00AD2782" w:rsidRPr="00CD03DB" w:rsidRDefault="00AD2782" w:rsidP="00CD03DB">
            <w:pPr>
              <w:pStyle w:val="15Tabletext"/>
              <w:rPr>
                <w:sz w:val="18"/>
              </w:rPr>
            </w:pPr>
            <w:r w:rsidRPr="00CD03DB">
              <w:rPr>
                <w:sz w:val="18"/>
              </w:rPr>
              <w:t>3.21</w:t>
            </w:r>
          </w:p>
        </w:tc>
        <w:tc>
          <w:tcPr>
            <w:tcW w:w="552" w:type="pct"/>
            <w:tcBorders>
              <w:top w:val="nil"/>
              <w:left w:val="nil"/>
              <w:bottom w:val="single" w:sz="8" w:space="0" w:color="auto"/>
              <w:right w:val="nil"/>
            </w:tcBorders>
            <w:shd w:val="clear" w:color="auto" w:fill="auto"/>
            <w:vAlign w:val="center"/>
            <w:hideMark/>
          </w:tcPr>
          <w:p w:rsidR="00AD2782" w:rsidRPr="00CD03DB" w:rsidRDefault="00AD2782" w:rsidP="00CD03DB">
            <w:pPr>
              <w:pStyle w:val="15Tabletext"/>
              <w:rPr>
                <w:sz w:val="18"/>
              </w:rPr>
            </w:pPr>
            <w:r w:rsidRPr="00CD03DB">
              <w:rPr>
                <w:sz w:val="18"/>
              </w:rPr>
              <w:t>6.103</w:t>
            </w:r>
          </w:p>
        </w:tc>
        <w:tc>
          <w:tcPr>
            <w:tcW w:w="545" w:type="pct"/>
            <w:tcBorders>
              <w:top w:val="nil"/>
              <w:left w:val="nil"/>
              <w:bottom w:val="single" w:sz="8" w:space="0" w:color="auto"/>
              <w:right w:val="nil"/>
            </w:tcBorders>
            <w:shd w:val="clear" w:color="auto" w:fill="auto"/>
            <w:vAlign w:val="center"/>
            <w:hideMark/>
          </w:tcPr>
          <w:p w:rsidR="00AD2782" w:rsidRPr="00CD03DB" w:rsidRDefault="00AD2782" w:rsidP="00CD03DB">
            <w:pPr>
              <w:pStyle w:val="15Tabletext"/>
              <w:rPr>
                <w:sz w:val="18"/>
              </w:rPr>
            </w:pPr>
            <w:r w:rsidRPr="00CD03DB">
              <w:rPr>
                <w:sz w:val="18"/>
              </w:rPr>
              <w:t>0.000</w:t>
            </w:r>
          </w:p>
        </w:tc>
        <w:tc>
          <w:tcPr>
            <w:tcW w:w="1039" w:type="pct"/>
            <w:tcBorders>
              <w:top w:val="nil"/>
              <w:left w:val="nil"/>
              <w:bottom w:val="single" w:sz="8" w:space="0" w:color="auto"/>
              <w:right w:val="nil"/>
            </w:tcBorders>
            <w:shd w:val="clear" w:color="auto" w:fill="auto"/>
            <w:vAlign w:val="center"/>
            <w:hideMark/>
          </w:tcPr>
          <w:p w:rsidR="00AD2782" w:rsidRPr="00CD03DB" w:rsidRDefault="00AD2782" w:rsidP="00CD03DB">
            <w:pPr>
              <w:pStyle w:val="15Tabletext"/>
              <w:rPr>
                <w:sz w:val="18"/>
              </w:rPr>
            </w:pPr>
            <w:r w:rsidRPr="00CD03DB">
              <w:rPr>
                <w:rFonts w:hint="eastAsia"/>
                <w:sz w:val="18"/>
              </w:rPr>
              <w:t>有顯著差異</w:t>
            </w:r>
          </w:p>
        </w:tc>
      </w:tr>
    </w:tbl>
    <w:p w:rsidR="00AD2782" w:rsidRPr="00AF33DD" w:rsidRDefault="00AD2782" w:rsidP="00AF33DD">
      <w:pPr>
        <w:pStyle w:val="09"/>
        <w:sectPr w:rsidR="00AD2782" w:rsidRPr="00AF33DD" w:rsidSect="00AD2782">
          <w:type w:val="continuous"/>
          <w:pgSz w:w="11906" w:h="16838"/>
          <w:pgMar w:top="1418" w:right="1134" w:bottom="1418" w:left="1134" w:header="851" w:footer="992" w:gutter="0"/>
          <w:cols w:space="425"/>
          <w:docGrid w:type="lines" w:linePitch="360"/>
        </w:sectPr>
      </w:pPr>
    </w:p>
    <w:p w:rsidR="008F435C" w:rsidRPr="00C06EA8" w:rsidRDefault="008F435C" w:rsidP="00AF33DD">
      <w:pPr>
        <w:pStyle w:val="111"/>
      </w:pPr>
      <w:r w:rsidRPr="00C06EA8">
        <w:rPr>
          <w:rFonts w:hint="eastAsia"/>
        </w:rPr>
        <w:t>單因子變異數分析</w:t>
      </w:r>
    </w:p>
    <w:p w:rsidR="008F435C" w:rsidRPr="00AF33DD" w:rsidRDefault="008F435C" w:rsidP="008F435C">
      <w:pPr>
        <w:pStyle w:val="09"/>
      </w:pPr>
      <w:bookmarkStart w:id="8" w:name="_Ref70659951"/>
      <w:r w:rsidRPr="00AF33DD">
        <w:rPr>
          <w:rFonts w:hint="eastAsia"/>
        </w:rPr>
        <w:t>表</w:t>
      </w:r>
      <w:r w:rsidRPr="00AF33DD">
        <w:rPr>
          <w:rFonts w:hint="eastAsia"/>
        </w:rPr>
        <w:t xml:space="preserve"> </w:t>
      </w:r>
      <w:r w:rsidRPr="00C06EA8">
        <w:rPr>
          <w:rFonts w:ascii="新細明體" w:hAnsi="新細明體"/>
          <w:szCs w:val="20"/>
        </w:rPr>
        <w:fldChar w:fldCharType="begin"/>
      </w:r>
      <w:r w:rsidRPr="00C06EA8">
        <w:rPr>
          <w:rFonts w:ascii="新細明體" w:hAnsi="新細明體"/>
          <w:szCs w:val="20"/>
        </w:rPr>
        <w:instrText xml:space="preserve"> </w:instrText>
      </w:r>
      <w:r w:rsidRPr="00C06EA8">
        <w:rPr>
          <w:rFonts w:ascii="新細明體" w:hAnsi="新細明體" w:hint="eastAsia"/>
          <w:szCs w:val="20"/>
        </w:rPr>
        <w:instrText>SEQ 表 \* ARABIC</w:instrText>
      </w:r>
      <w:r w:rsidRPr="00C06EA8">
        <w:rPr>
          <w:rFonts w:ascii="新細明體" w:hAnsi="新細明體"/>
          <w:szCs w:val="20"/>
        </w:rPr>
        <w:instrText xml:space="preserve"> </w:instrText>
      </w:r>
      <w:r w:rsidRPr="00C06EA8">
        <w:rPr>
          <w:rFonts w:ascii="新細明體" w:hAnsi="新細明體"/>
          <w:szCs w:val="20"/>
        </w:rPr>
        <w:fldChar w:fldCharType="separate"/>
      </w:r>
      <w:r w:rsidR="00C22847" w:rsidRPr="00C06EA8">
        <w:rPr>
          <w:rFonts w:ascii="新細明體" w:hAnsi="新細明體"/>
          <w:szCs w:val="20"/>
        </w:rPr>
        <w:t>5</w:t>
      </w:r>
      <w:r w:rsidRPr="00C06EA8">
        <w:rPr>
          <w:rFonts w:ascii="新細明體" w:hAnsi="新細明體"/>
          <w:szCs w:val="20"/>
        </w:rPr>
        <w:fldChar w:fldCharType="end"/>
      </w:r>
      <w:bookmarkEnd w:id="8"/>
      <w:r w:rsidRPr="00AF33DD">
        <w:rPr>
          <w:rFonts w:hint="eastAsia"/>
        </w:rPr>
        <w:t>購買運動鞋類的平均價格對品牌聯想之單因子變異數分析表</w:t>
      </w:r>
    </w:p>
    <w:tbl>
      <w:tblPr>
        <w:tblW w:w="5767" w:type="pct"/>
        <w:tblBorders>
          <w:top w:val="single" w:sz="8" w:space="0" w:color="auto"/>
          <w:bottom w:val="single" w:sz="8" w:space="0" w:color="auto"/>
        </w:tblBorders>
        <w:tblCellMar>
          <w:top w:w="57" w:type="dxa"/>
          <w:left w:w="57" w:type="dxa"/>
          <w:bottom w:w="57" w:type="dxa"/>
          <w:right w:w="57" w:type="dxa"/>
        </w:tblCellMar>
        <w:tblLook w:val="06A0" w:firstRow="1" w:lastRow="0" w:firstColumn="1" w:lastColumn="0" w:noHBand="1" w:noVBand="1"/>
      </w:tblPr>
      <w:tblGrid>
        <w:gridCol w:w="1375"/>
        <w:gridCol w:w="991"/>
        <w:gridCol w:w="992"/>
        <w:gridCol w:w="1955"/>
      </w:tblGrid>
      <w:tr w:rsidR="008F435C" w:rsidRPr="00C06EA8" w:rsidTr="00341322">
        <w:tc>
          <w:tcPr>
            <w:tcW w:w="1293" w:type="pct"/>
            <w:tcBorders>
              <w:top w:val="single" w:sz="8" w:space="0" w:color="000000"/>
              <w:left w:val="nil"/>
              <w:bottom w:val="single" w:sz="4" w:space="0" w:color="auto"/>
              <w:right w:val="nil"/>
            </w:tcBorders>
            <w:shd w:val="clear" w:color="auto" w:fill="auto"/>
          </w:tcPr>
          <w:p w:rsidR="008F435C" w:rsidRPr="00C06EA8" w:rsidRDefault="008F435C" w:rsidP="008F435C">
            <w:pPr>
              <w:pStyle w:val="15Tabletext"/>
              <w:rPr>
                <w:rFonts w:ascii="新細明體" w:hAnsi="新細明體"/>
                <w:szCs w:val="20"/>
              </w:rPr>
            </w:pPr>
            <w:r w:rsidRPr="00C06EA8">
              <w:rPr>
                <w:rFonts w:ascii="新細明體" w:hAnsi="新細明體" w:hint="eastAsia"/>
                <w:szCs w:val="20"/>
              </w:rPr>
              <w:t>構面</w:t>
            </w:r>
          </w:p>
        </w:tc>
        <w:tc>
          <w:tcPr>
            <w:tcW w:w="933" w:type="pct"/>
            <w:tcBorders>
              <w:top w:val="single" w:sz="8" w:space="0" w:color="000000"/>
              <w:left w:val="nil"/>
              <w:bottom w:val="single" w:sz="4" w:space="0" w:color="auto"/>
              <w:right w:val="nil"/>
            </w:tcBorders>
            <w:shd w:val="clear" w:color="auto" w:fill="auto"/>
          </w:tcPr>
          <w:p w:rsidR="008F435C" w:rsidRPr="00C06EA8" w:rsidRDefault="008F435C" w:rsidP="008F435C">
            <w:pPr>
              <w:pStyle w:val="15Tabletext"/>
              <w:rPr>
                <w:rFonts w:ascii="新細明體" w:hAnsi="新細明體"/>
                <w:szCs w:val="20"/>
              </w:rPr>
            </w:pPr>
            <w:r w:rsidRPr="00C06EA8">
              <w:rPr>
                <w:rFonts w:ascii="新細明體" w:hAnsi="新細明體"/>
                <w:szCs w:val="20"/>
              </w:rPr>
              <w:t>F</w:t>
            </w:r>
            <w:r w:rsidRPr="00C06EA8">
              <w:rPr>
                <w:rFonts w:ascii="新細明體" w:hAnsi="新細明體" w:hint="eastAsia"/>
                <w:szCs w:val="20"/>
              </w:rPr>
              <w:t>值</w:t>
            </w:r>
          </w:p>
        </w:tc>
        <w:tc>
          <w:tcPr>
            <w:tcW w:w="934" w:type="pct"/>
            <w:tcBorders>
              <w:top w:val="single" w:sz="8" w:space="0" w:color="000000"/>
              <w:left w:val="nil"/>
              <w:bottom w:val="single" w:sz="4" w:space="0" w:color="auto"/>
              <w:right w:val="nil"/>
            </w:tcBorders>
            <w:shd w:val="clear" w:color="auto" w:fill="auto"/>
          </w:tcPr>
          <w:p w:rsidR="008F435C" w:rsidRPr="00C06EA8" w:rsidRDefault="008F435C" w:rsidP="008F435C">
            <w:pPr>
              <w:pStyle w:val="15Tabletext"/>
              <w:rPr>
                <w:rFonts w:ascii="新細明體" w:hAnsi="新細明體"/>
                <w:szCs w:val="20"/>
              </w:rPr>
            </w:pPr>
            <w:r w:rsidRPr="00C06EA8">
              <w:rPr>
                <w:rFonts w:ascii="新細明體" w:hAnsi="新細明體"/>
                <w:szCs w:val="20"/>
              </w:rPr>
              <w:t>P</w:t>
            </w:r>
            <w:r w:rsidRPr="00C06EA8">
              <w:rPr>
                <w:rFonts w:ascii="新細明體" w:hAnsi="新細明體" w:hint="eastAsia"/>
                <w:szCs w:val="20"/>
              </w:rPr>
              <w:t>值</w:t>
            </w:r>
          </w:p>
        </w:tc>
        <w:tc>
          <w:tcPr>
            <w:tcW w:w="1841" w:type="pct"/>
            <w:tcBorders>
              <w:top w:val="single" w:sz="8" w:space="0" w:color="000000"/>
              <w:left w:val="nil"/>
              <w:bottom w:val="single" w:sz="4" w:space="0" w:color="auto"/>
              <w:right w:val="nil"/>
            </w:tcBorders>
            <w:shd w:val="clear" w:color="auto" w:fill="auto"/>
          </w:tcPr>
          <w:p w:rsidR="008F435C" w:rsidRPr="00C06EA8" w:rsidRDefault="008F435C" w:rsidP="008F435C">
            <w:pPr>
              <w:pStyle w:val="15Tabletext"/>
              <w:rPr>
                <w:rFonts w:ascii="新細明體" w:hAnsi="新細明體"/>
                <w:szCs w:val="20"/>
              </w:rPr>
            </w:pPr>
            <w:r w:rsidRPr="00C06EA8">
              <w:rPr>
                <w:rFonts w:ascii="新細明體" w:hAnsi="新細明體" w:hint="eastAsia"/>
                <w:szCs w:val="20"/>
              </w:rPr>
              <w:t>結論</w:t>
            </w:r>
          </w:p>
        </w:tc>
      </w:tr>
      <w:tr w:rsidR="008F435C" w:rsidRPr="00C06EA8" w:rsidTr="00341322">
        <w:tc>
          <w:tcPr>
            <w:tcW w:w="1293" w:type="pct"/>
            <w:shd w:val="clear" w:color="auto" w:fill="auto"/>
            <w:vAlign w:val="center"/>
          </w:tcPr>
          <w:p w:rsidR="008F435C" w:rsidRPr="00C06EA8" w:rsidRDefault="008F435C" w:rsidP="008F435C">
            <w:pPr>
              <w:pStyle w:val="15Tabletext"/>
              <w:rPr>
                <w:rFonts w:ascii="新細明體" w:hAnsi="新細明體"/>
                <w:szCs w:val="20"/>
              </w:rPr>
            </w:pPr>
            <w:r w:rsidRPr="00C06EA8">
              <w:rPr>
                <w:rFonts w:ascii="新細明體" w:hAnsi="新細明體" w:hint="eastAsia"/>
                <w:szCs w:val="20"/>
              </w:rPr>
              <w:t>品牌聯想</w:t>
            </w:r>
          </w:p>
        </w:tc>
        <w:tc>
          <w:tcPr>
            <w:tcW w:w="933" w:type="pct"/>
            <w:shd w:val="clear" w:color="auto" w:fill="auto"/>
            <w:vAlign w:val="center"/>
          </w:tcPr>
          <w:p w:rsidR="008F435C" w:rsidRPr="00C06EA8" w:rsidRDefault="008F435C" w:rsidP="008F435C">
            <w:pPr>
              <w:pStyle w:val="15Tabletext"/>
              <w:rPr>
                <w:rFonts w:ascii="新細明體" w:hAnsi="新細明體"/>
                <w:szCs w:val="20"/>
              </w:rPr>
            </w:pPr>
            <w:r w:rsidRPr="00C06EA8">
              <w:rPr>
                <w:rFonts w:ascii="新細明體" w:hAnsi="新細明體"/>
                <w:szCs w:val="20"/>
              </w:rPr>
              <w:t>7.17</w:t>
            </w:r>
          </w:p>
        </w:tc>
        <w:tc>
          <w:tcPr>
            <w:tcW w:w="934" w:type="pct"/>
            <w:shd w:val="clear" w:color="auto" w:fill="auto"/>
            <w:vAlign w:val="center"/>
          </w:tcPr>
          <w:p w:rsidR="008F435C" w:rsidRPr="00C06EA8" w:rsidRDefault="008F435C" w:rsidP="008F435C">
            <w:pPr>
              <w:pStyle w:val="15Tabletext"/>
              <w:rPr>
                <w:rFonts w:ascii="新細明體" w:hAnsi="新細明體"/>
                <w:szCs w:val="20"/>
              </w:rPr>
            </w:pPr>
            <w:r w:rsidRPr="00C06EA8">
              <w:rPr>
                <w:rFonts w:ascii="新細明體" w:hAnsi="新細明體"/>
                <w:szCs w:val="20"/>
              </w:rPr>
              <w:t>0.000</w:t>
            </w:r>
          </w:p>
        </w:tc>
        <w:tc>
          <w:tcPr>
            <w:tcW w:w="1841" w:type="pct"/>
            <w:shd w:val="clear" w:color="auto" w:fill="auto"/>
            <w:vAlign w:val="center"/>
          </w:tcPr>
          <w:p w:rsidR="008F435C" w:rsidRPr="00C06EA8" w:rsidRDefault="008F435C" w:rsidP="008F435C">
            <w:pPr>
              <w:pStyle w:val="15Tabletext"/>
              <w:rPr>
                <w:rFonts w:ascii="新細明體" w:hAnsi="新細明體"/>
                <w:szCs w:val="20"/>
              </w:rPr>
            </w:pPr>
            <w:r w:rsidRPr="00C06EA8">
              <w:rPr>
                <w:rFonts w:ascii="新細明體" w:hAnsi="新細明體"/>
                <w:szCs w:val="20"/>
              </w:rPr>
              <w:t>LSD</w:t>
            </w:r>
            <w:r w:rsidRPr="00C06EA8">
              <w:rPr>
                <w:rFonts w:ascii="新細明體" w:hAnsi="新細明體" w:hint="eastAsia"/>
                <w:szCs w:val="20"/>
              </w:rPr>
              <w:t>事後檢定</w:t>
            </w:r>
          </w:p>
          <w:p w:rsidR="008F435C" w:rsidRPr="00C06EA8" w:rsidRDefault="008F435C" w:rsidP="008F435C">
            <w:pPr>
              <w:pStyle w:val="15Tabletext"/>
              <w:rPr>
                <w:rFonts w:ascii="新細明體" w:hAnsi="新細明體"/>
                <w:szCs w:val="20"/>
              </w:rPr>
            </w:pPr>
            <w:r w:rsidRPr="00C06EA8">
              <w:rPr>
                <w:rFonts w:ascii="新細明體" w:hAnsi="新細明體"/>
                <w:szCs w:val="20"/>
              </w:rPr>
              <w:t>(4)</w:t>
            </w:r>
            <w:proofErr w:type="gramStart"/>
            <w:r w:rsidRPr="00C06EA8">
              <w:rPr>
                <w:rFonts w:ascii="新細明體" w:hAnsi="新細明體"/>
                <w:szCs w:val="20"/>
              </w:rPr>
              <w:t>&gt;(</w:t>
            </w:r>
            <w:proofErr w:type="gramEnd"/>
            <w:r w:rsidRPr="00C06EA8">
              <w:rPr>
                <w:rFonts w:ascii="新細明體" w:hAnsi="新細明體"/>
                <w:szCs w:val="20"/>
              </w:rPr>
              <w:t>3)&gt;(2)&gt;(1)</w:t>
            </w:r>
          </w:p>
        </w:tc>
      </w:tr>
    </w:tbl>
    <w:p w:rsidR="008F435C" w:rsidRPr="00AF33DD" w:rsidRDefault="008F435C" w:rsidP="008F435C">
      <w:pPr>
        <w:pStyle w:val="09"/>
      </w:pPr>
      <w:bookmarkStart w:id="9" w:name="_Ref70659986"/>
      <w:r w:rsidRPr="00AF33DD">
        <w:rPr>
          <w:rFonts w:hint="eastAsia"/>
        </w:rPr>
        <w:t>表</w:t>
      </w:r>
      <w:r w:rsidRPr="00AF33DD">
        <w:rPr>
          <w:rFonts w:hint="eastAsia"/>
        </w:rPr>
        <w:t xml:space="preserve"> </w:t>
      </w:r>
      <w:r w:rsidRPr="00C06EA8">
        <w:rPr>
          <w:rFonts w:ascii="新細明體" w:hAnsi="新細明體"/>
          <w:szCs w:val="20"/>
        </w:rPr>
        <w:fldChar w:fldCharType="begin"/>
      </w:r>
      <w:r w:rsidRPr="00C06EA8">
        <w:rPr>
          <w:rFonts w:ascii="新細明體" w:hAnsi="新細明體"/>
          <w:szCs w:val="20"/>
        </w:rPr>
        <w:instrText xml:space="preserve"> </w:instrText>
      </w:r>
      <w:r w:rsidRPr="00C06EA8">
        <w:rPr>
          <w:rFonts w:ascii="新細明體" w:hAnsi="新細明體" w:hint="eastAsia"/>
          <w:szCs w:val="20"/>
        </w:rPr>
        <w:instrText>SEQ 表 \* ARABIC</w:instrText>
      </w:r>
      <w:r w:rsidRPr="00C06EA8">
        <w:rPr>
          <w:rFonts w:ascii="新細明體" w:hAnsi="新細明體"/>
          <w:szCs w:val="20"/>
        </w:rPr>
        <w:instrText xml:space="preserve"> </w:instrText>
      </w:r>
      <w:r w:rsidRPr="00C06EA8">
        <w:rPr>
          <w:rFonts w:ascii="新細明體" w:hAnsi="新細明體"/>
          <w:szCs w:val="20"/>
        </w:rPr>
        <w:fldChar w:fldCharType="separate"/>
      </w:r>
      <w:r w:rsidR="00C22847" w:rsidRPr="00C06EA8">
        <w:rPr>
          <w:rFonts w:ascii="新細明體" w:hAnsi="新細明體"/>
          <w:szCs w:val="20"/>
        </w:rPr>
        <w:t>6</w:t>
      </w:r>
      <w:r w:rsidRPr="00C06EA8">
        <w:rPr>
          <w:rFonts w:ascii="新細明體" w:hAnsi="新細明體"/>
          <w:szCs w:val="20"/>
        </w:rPr>
        <w:fldChar w:fldCharType="end"/>
      </w:r>
      <w:bookmarkEnd w:id="9"/>
      <w:r w:rsidRPr="00AF33DD">
        <w:rPr>
          <w:rFonts w:hint="eastAsia"/>
        </w:rPr>
        <w:t>擁有運動鞋數量對品牌形象之單因子變異數分析表</w:t>
      </w:r>
    </w:p>
    <w:tbl>
      <w:tblPr>
        <w:tblW w:w="5000" w:type="pct"/>
        <w:tblBorders>
          <w:top w:val="single" w:sz="8" w:space="0" w:color="auto"/>
          <w:bottom w:val="single" w:sz="8" w:space="0" w:color="auto"/>
        </w:tblBorders>
        <w:tblCellMar>
          <w:top w:w="57" w:type="dxa"/>
          <w:left w:w="57" w:type="dxa"/>
          <w:bottom w:w="57" w:type="dxa"/>
          <w:right w:w="57" w:type="dxa"/>
        </w:tblCellMar>
        <w:tblLook w:val="06A0" w:firstRow="1" w:lastRow="0" w:firstColumn="1" w:lastColumn="0" w:noHBand="1" w:noVBand="1"/>
      </w:tblPr>
      <w:tblGrid>
        <w:gridCol w:w="1277"/>
        <w:gridCol w:w="850"/>
        <w:gridCol w:w="850"/>
        <w:gridCol w:w="1629"/>
      </w:tblGrid>
      <w:tr w:rsidR="008F435C" w:rsidRPr="00C06EA8" w:rsidTr="00341322">
        <w:tc>
          <w:tcPr>
            <w:tcW w:w="1386" w:type="pct"/>
            <w:tcBorders>
              <w:top w:val="single" w:sz="8" w:space="0" w:color="000000"/>
              <w:left w:val="nil"/>
              <w:bottom w:val="single" w:sz="4" w:space="0" w:color="auto"/>
              <w:right w:val="nil"/>
            </w:tcBorders>
            <w:shd w:val="clear" w:color="auto" w:fill="auto"/>
            <w:hideMark/>
          </w:tcPr>
          <w:p w:rsidR="008F435C" w:rsidRPr="00C06EA8" w:rsidRDefault="008F435C" w:rsidP="008F435C">
            <w:pPr>
              <w:pStyle w:val="15Tabletext"/>
              <w:rPr>
                <w:rFonts w:ascii="新細明體" w:hAnsi="新細明體"/>
                <w:szCs w:val="20"/>
              </w:rPr>
            </w:pPr>
            <w:r w:rsidRPr="00C06EA8">
              <w:rPr>
                <w:rFonts w:ascii="新細明體" w:hAnsi="新細明體" w:hint="eastAsia"/>
                <w:szCs w:val="20"/>
              </w:rPr>
              <w:t>構面</w:t>
            </w:r>
          </w:p>
        </w:tc>
        <w:tc>
          <w:tcPr>
            <w:tcW w:w="923" w:type="pct"/>
            <w:tcBorders>
              <w:top w:val="single" w:sz="8" w:space="0" w:color="000000"/>
              <w:left w:val="nil"/>
              <w:bottom w:val="single" w:sz="4" w:space="0" w:color="auto"/>
              <w:right w:val="nil"/>
            </w:tcBorders>
            <w:shd w:val="clear" w:color="auto" w:fill="auto"/>
            <w:hideMark/>
          </w:tcPr>
          <w:p w:rsidR="008F435C" w:rsidRPr="00C06EA8" w:rsidRDefault="008F435C" w:rsidP="008F435C">
            <w:pPr>
              <w:pStyle w:val="15Tabletext"/>
              <w:rPr>
                <w:rFonts w:ascii="新細明體" w:hAnsi="新細明體"/>
                <w:szCs w:val="20"/>
              </w:rPr>
            </w:pPr>
            <w:r w:rsidRPr="00C06EA8">
              <w:rPr>
                <w:rFonts w:ascii="新細明體" w:hAnsi="新細明體"/>
                <w:szCs w:val="20"/>
              </w:rPr>
              <w:t>F</w:t>
            </w:r>
            <w:r w:rsidRPr="00C06EA8">
              <w:rPr>
                <w:rFonts w:ascii="新細明體" w:hAnsi="新細明體" w:hint="eastAsia"/>
                <w:szCs w:val="20"/>
              </w:rPr>
              <w:t>值</w:t>
            </w:r>
          </w:p>
        </w:tc>
        <w:tc>
          <w:tcPr>
            <w:tcW w:w="923" w:type="pct"/>
            <w:tcBorders>
              <w:top w:val="single" w:sz="8" w:space="0" w:color="000000"/>
              <w:left w:val="nil"/>
              <w:bottom w:val="single" w:sz="4" w:space="0" w:color="auto"/>
              <w:right w:val="nil"/>
            </w:tcBorders>
            <w:shd w:val="clear" w:color="auto" w:fill="auto"/>
            <w:hideMark/>
          </w:tcPr>
          <w:p w:rsidR="008F435C" w:rsidRPr="00C06EA8" w:rsidRDefault="008F435C" w:rsidP="008F435C">
            <w:pPr>
              <w:pStyle w:val="15Tabletext"/>
              <w:rPr>
                <w:rFonts w:ascii="新細明體" w:hAnsi="新細明體"/>
                <w:szCs w:val="20"/>
              </w:rPr>
            </w:pPr>
            <w:r w:rsidRPr="00C06EA8">
              <w:rPr>
                <w:rFonts w:ascii="新細明體" w:hAnsi="新細明體"/>
                <w:szCs w:val="20"/>
              </w:rPr>
              <w:t>P</w:t>
            </w:r>
            <w:r w:rsidRPr="00C06EA8">
              <w:rPr>
                <w:rFonts w:ascii="新細明體" w:hAnsi="新細明體" w:hint="eastAsia"/>
                <w:szCs w:val="20"/>
              </w:rPr>
              <w:t>值</w:t>
            </w:r>
          </w:p>
        </w:tc>
        <w:tc>
          <w:tcPr>
            <w:tcW w:w="1768" w:type="pct"/>
            <w:tcBorders>
              <w:top w:val="single" w:sz="8" w:space="0" w:color="000000"/>
              <w:left w:val="nil"/>
              <w:bottom w:val="single" w:sz="4" w:space="0" w:color="auto"/>
              <w:right w:val="nil"/>
            </w:tcBorders>
            <w:shd w:val="clear" w:color="auto" w:fill="auto"/>
            <w:hideMark/>
          </w:tcPr>
          <w:p w:rsidR="008F435C" w:rsidRPr="00C06EA8" w:rsidRDefault="008F435C" w:rsidP="008F435C">
            <w:pPr>
              <w:pStyle w:val="15Tabletext"/>
              <w:rPr>
                <w:rFonts w:ascii="新細明體" w:hAnsi="新細明體"/>
                <w:szCs w:val="20"/>
              </w:rPr>
            </w:pPr>
            <w:r w:rsidRPr="00C06EA8">
              <w:rPr>
                <w:rFonts w:ascii="新細明體" w:hAnsi="新細明體" w:hint="eastAsia"/>
                <w:szCs w:val="20"/>
              </w:rPr>
              <w:t>結論</w:t>
            </w:r>
          </w:p>
        </w:tc>
      </w:tr>
      <w:tr w:rsidR="008F435C" w:rsidRPr="00C06EA8" w:rsidTr="00341322">
        <w:tc>
          <w:tcPr>
            <w:tcW w:w="1386" w:type="pct"/>
            <w:tcBorders>
              <w:top w:val="nil"/>
              <w:left w:val="nil"/>
              <w:bottom w:val="single" w:sz="8" w:space="0" w:color="auto"/>
              <w:right w:val="nil"/>
            </w:tcBorders>
            <w:shd w:val="clear" w:color="auto" w:fill="auto"/>
            <w:vAlign w:val="center"/>
            <w:hideMark/>
          </w:tcPr>
          <w:p w:rsidR="008F435C" w:rsidRPr="00C06EA8" w:rsidRDefault="008F435C" w:rsidP="008F435C">
            <w:pPr>
              <w:pStyle w:val="15Tabletext"/>
              <w:rPr>
                <w:rFonts w:ascii="新細明體" w:hAnsi="新細明體"/>
                <w:szCs w:val="20"/>
              </w:rPr>
            </w:pPr>
            <w:r w:rsidRPr="00C06EA8">
              <w:rPr>
                <w:rFonts w:ascii="新細明體" w:hAnsi="新細明體" w:hint="eastAsia"/>
                <w:szCs w:val="20"/>
              </w:rPr>
              <w:t>品牌形象</w:t>
            </w:r>
          </w:p>
        </w:tc>
        <w:tc>
          <w:tcPr>
            <w:tcW w:w="923" w:type="pct"/>
            <w:tcBorders>
              <w:top w:val="nil"/>
              <w:left w:val="nil"/>
              <w:bottom w:val="single" w:sz="8" w:space="0" w:color="auto"/>
              <w:right w:val="nil"/>
            </w:tcBorders>
            <w:shd w:val="clear" w:color="auto" w:fill="auto"/>
            <w:vAlign w:val="center"/>
            <w:hideMark/>
          </w:tcPr>
          <w:p w:rsidR="008F435C" w:rsidRPr="00C06EA8" w:rsidRDefault="008F435C" w:rsidP="008F435C">
            <w:pPr>
              <w:pStyle w:val="15Tabletext"/>
              <w:rPr>
                <w:rFonts w:ascii="新細明體" w:hAnsi="新細明體"/>
                <w:szCs w:val="20"/>
              </w:rPr>
            </w:pPr>
            <w:r w:rsidRPr="00C06EA8">
              <w:rPr>
                <w:rFonts w:ascii="新細明體" w:hAnsi="新細明體"/>
                <w:szCs w:val="20"/>
              </w:rPr>
              <w:t>5.42</w:t>
            </w:r>
          </w:p>
        </w:tc>
        <w:tc>
          <w:tcPr>
            <w:tcW w:w="923" w:type="pct"/>
            <w:tcBorders>
              <w:top w:val="nil"/>
              <w:left w:val="nil"/>
              <w:bottom w:val="single" w:sz="8" w:space="0" w:color="auto"/>
              <w:right w:val="nil"/>
            </w:tcBorders>
            <w:shd w:val="clear" w:color="auto" w:fill="auto"/>
            <w:vAlign w:val="center"/>
            <w:hideMark/>
          </w:tcPr>
          <w:p w:rsidR="008F435C" w:rsidRPr="00C06EA8" w:rsidRDefault="008F435C" w:rsidP="008F435C">
            <w:pPr>
              <w:pStyle w:val="15Tabletext"/>
              <w:rPr>
                <w:rFonts w:ascii="新細明體" w:hAnsi="新細明體"/>
                <w:szCs w:val="20"/>
              </w:rPr>
            </w:pPr>
            <w:r w:rsidRPr="00C06EA8">
              <w:rPr>
                <w:rFonts w:ascii="新細明體" w:hAnsi="新細明體"/>
                <w:szCs w:val="20"/>
              </w:rPr>
              <w:t>0.045</w:t>
            </w:r>
          </w:p>
        </w:tc>
        <w:tc>
          <w:tcPr>
            <w:tcW w:w="1768" w:type="pct"/>
            <w:tcBorders>
              <w:top w:val="nil"/>
              <w:left w:val="nil"/>
              <w:bottom w:val="single" w:sz="8" w:space="0" w:color="auto"/>
              <w:right w:val="nil"/>
            </w:tcBorders>
            <w:shd w:val="clear" w:color="auto" w:fill="auto"/>
            <w:vAlign w:val="center"/>
            <w:hideMark/>
          </w:tcPr>
          <w:p w:rsidR="008F435C" w:rsidRPr="00C06EA8" w:rsidRDefault="008F435C" w:rsidP="008F435C">
            <w:pPr>
              <w:pStyle w:val="15Tabletext"/>
              <w:rPr>
                <w:rFonts w:ascii="新細明體" w:hAnsi="新細明體"/>
                <w:szCs w:val="20"/>
              </w:rPr>
            </w:pPr>
            <w:r w:rsidRPr="00C06EA8">
              <w:rPr>
                <w:rFonts w:ascii="新細明體" w:hAnsi="新細明體"/>
                <w:szCs w:val="20"/>
              </w:rPr>
              <w:t>LSD</w:t>
            </w:r>
            <w:r w:rsidRPr="00C06EA8">
              <w:rPr>
                <w:rFonts w:ascii="新細明體" w:hAnsi="新細明體" w:hint="eastAsia"/>
                <w:szCs w:val="20"/>
              </w:rPr>
              <w:t>事後檢定</w:t>
            </w:r>
          </w:p>
          <w:p w:rsidR="008F435C" w:rsidRPr="00C06EA8" w:rsidRDefault="008F435C" w:rsidP="008F435C">
            <w:pPr>
              <w:pStyle w:val="15Tabletext"/>
              <w:rPr>
                <w:rFonts w:ascii="新細明體" w:hAnsi="新細明體"/>
                <w:szCs w:val="20"/>
              </w:rPr>
            </w:pPr>
            <w:r w:rsidRPr="00C06EA8">
              <w:rPr>
                <w:rFonts w:ascii="新細明體" w:hAnsi="新細明體"/>
                <w:szCs w:val="20"/>
              </w:rPr>
              <w:t>(4)</w:t>
            </w:r>
            <w:proofErr w:type="gramStart"/>
            <w:r w:rsidRPr="00C06EA8">
              <w:rPr>
                <w:rFonts w:ascii="新細明體" w:hAnsi="新細明體"/>
                <w:szCs w:val="20"/>
              </w:rPr>
              <w:t>&gt;(</w:t>
            </w:r>
            <w:proofErr w:type="gramEnd"/>
            <w:r w:rsidRPr="00C06EA8">
              <w:rPr>
                <w:rFonts w:ascii="新細明體" w:hAnsi="新細明體"/>
                <w:szCs w:val="20"/>
              </w:rPr>
              <w:t>1)</w:t>
            </w:r>
          </w:p>
        </w:tc>
      </w:tr>
    </w:tbl>
    <w:p w:rsidR="00341322" w:rsidRPr="00C06EA8" w:rsidRDefault="00341322" w:rsidP="00AF33DD">
      <w:pPr>
        <w:pStyle w:val="111"/>
      </w:pPr>
      <w:r w:rsidRPr="00C06EA8">
        <w:rPr>
          <w:rFonts w:hint="eastAsia"/>
        </w:rPr>
        <w:t>皮爾森相關係數分析</w:t>
      </w:r>
    </w:p>
    <w:p w:rsidR="00341322" w:rsidRPr="00AF33DD" w:rsidRDefault="00341322" w:rsidP="00341322">
      <w:pPr>
        <w:pStyle w:val="09"/>
      </w:pPr>
      <w:bookmarkStart w:id="10" w:name="_Ref70867469"/>
      <w:r w:rsidRPr="00AF33DD">
        <w:rPr>
          <w:rFonts w:hint="eastAsia"/>
        </w:rPr>
        <w:t>表</w:t>
      </w:r>
      <w:r w:rsidRPr="00AF33DD">
        <w:rPr>
          <w:rFonts w:hint="eastAsia"/>
        </w:rPr>
        <w:t xml:space="preserve"> </w:t>
      </w:r>
      <w:r w:rsidRPr="00C06EA8">
        <w:rPr>
          <w:rFonts w:ascii="新細明體" w:hAnsi="新細明體"/>
          <w:szCs w:val="20"/>
        </w:rPr>
        <w:fldChar w:fldCharType="begin"/>
      </w:r>
      <w:r w:rsidRPr="00C06EA8">
        <w:rPr>
          <w:rFonts w:ascii="新細明體" w:hAnsi="新細明體"/>
          <w:szCs w:val="20"/>
        </w:rPr>
        <w:instrText xml:space="preserve"> </w:instrText>
      </w:r>
      <w:r w:rsidRPr="00C06EA8">
        <w:rPr>
          <w:rFonts w:ascii="新細明體" w:hAnsi="新細明體" w:hint="eastAsia"/>
          <w:szCs w:val="20"/>
        </w:rPr>
        <w:instrText>SEQ 表 \* ARABIC</w:instrText>
      </w:r>
      <w:r w:rsidRPr="00C06EA8">
        <w:rPr>
          <w:rFonts w:ascii="新細明體" w:hAnsi="新細明體"/>
          <w:szCs w:val="20"/>
        </w:rPr>
        <w:instrText xml:space="preserve"> </w:instrText>
      </w:r>
      <w:r w:rsidRPr="00C06EA8">
        <w:rPr>
          <w:rFonts w:ascii="新細明體" w:hAnsi="新細明體"/>
          <w:szCs w:val="20"/>
        </w:rPr>
        <w:fldChar w:fldCharType="separate"/>
      </w:r>
      <w:r w:rsidR="00C22847" w:rsidRPr="00C06EA8">
        <w:rPr>
          <w:rFonts w:ascii="新細明體" w:hAnsi="新細明體"/>
          <w:szCs w:val="20"/>
        </w:rPr>
        <w:t>7</w:t>
      </w:r>
      <w:r w:rsidRPr="00C06EA8">
        <w:rPr>
          <w:rFonts w:ascii="新細明體" w:hAnsi="新細明體"/>
          <w:szCs w:val="20"/>
        </w:rPr>
        <w:fldChar w:fldCharType="end"/>
      </w:r>
      <w:bookmarkEnd w:id="10"/>
      <w:r w:rsidR="00C8054F" w:rsidRPr="00AF33DD">
        <w:rPr>
          <w:rFonts w:hint="eastAsia"/>
        </w:rPr>
        <w:t>各構面</w:t>
      </w:r>
      <w:r w:rsidRPr="00AF33DD">
        <w:rPr>
          <w:rFonts w:hint="eastAsia"/>
        </w:rPr>
        <w:t>對購買意願之皮爾森相關分析</w:t>
      </w:r>
    </w:p>
    <w:tbl>
      <w:tblPr>
        <w:tblW w:w="0" w:type="auto"/>
        <w:tblBorders>
          <w:top w:val="single" w:sz="8" w:space="0" w:color="auto"/>
          <w:bottom w:val="single" w:sz="8" w:space="0" w:color="auto"/>
        </w:tblBorders>
        <w:tblCellMar>
          <w:top w:w="28" w:type="dxa"/>
          <w:left w:w="28" w:type="dxa"/>
          <w:bottom w:w="28" w:type="dxa"/>
          <w:right w:w="28" w:type="dxa"/>
        </w:tblCellMar>
        <w:tblLook w:val="04A0" w:firstRow="1" w:lastRow="0" w:firstColumn="1" w:lastColumn="0" w:noHBand="0" w:noVBand="1"/>
      </w:tblPr>
      <w:tblGrid>
        <w:gridCol w:w="2170"/>
        <w:gridCol w:w="812"/>
        <w:gridCol w:w="812"/>
        <w:gridCol w:w="812"/>
      </w:tblGrid>
      <w:tr w:rsidR="00341322" w:rsidRPr="00C06EA8" w:rsidTr="00341322">
        <w:tc>
          <w:tcPr>
            <w:tcW w:w="0" w:type="auto"/>
            <w:tcBorders>
              <w:top w:val="single" w:sz="8" w:space="0" w:color="auto"/>
              <w:left w:val="nil"/>
              <w:bottom w:val="single" w:sz="4" w:space="0" w:color="auto"/>
              <w:right w:val="nil"/>
            </w:tcBorders>
            <w:shd w:val="clear" w:color="auto" w:fill="auto"/>
          </w:tcPr>
          <w:p w:rsidR="00341322" w:rsidRPr="00C06EA8" w:rsidRDefault="00341322" w:rsidP="00341322">
            <w:pPr>
              <w:pStyle w:val="15Tabletext"/>
              <w:rPr>
                <w:rFonts w:ascii="新細明體" w:hAnsi="新細明體"/>
                <w:szCs w:val="20"/>
              </w:rPr>
            </w:pPr>
          </w:p>
        </w:tc>
        <w:tc>
          <w:tcPr>
            <w:tcW w:w="0" w:type="auto"/>
            <w:tcBorders>
              <w:top w:val="single" w:sz="8" w:space="0" w:color="auto"/>
              <w:left w:val="nil"/>
              <w:bottom w:val="single" w:sz="4" w:space="0" w:color="auto"/>
              <w:right w:val="nil"/>
            </w:tcBorders>
            <w:shd w:val="clear" w:color="auto" w:fill="auto"/>
            <w:vAlign w:val="center"/>
            <w:hideMark/>
          </w:tcPr>
          <w:p w:rsidR="00341322" w:rsidRPr="00C06EA8" w:rsidRDefault="00341322" w:rsidP="00341322">
            <w:pPr>
              <w:pStyle w:val="15Tabletext"/>
              <w:rPr>
                <w:rFonts w:ascii="新細明體" w:hAnsi="新細明體"/>
                <w:szCs w:val="20"/>
              </w:rPr>
            </w:pPr>
            <w:r w:rsidRPr="00C06EA8">
              <w:rPr>
                <w:rFonts w:ascii="新細明體" w:hAnsi="新細明體" w:hint="eastAsia"/>
                <w:szCs w:val="20"/>
              </w:rPr>
              <w:t>知覺價值</w:t>
            </w:r>
          </w:p>
        </w:tc>
        <w:tc>
          <w:tcPr>
            <w:tcW w:w="0" w:type="auto"/>
            <w:tcBorders>
              <w:top w:val="single" w:sz="8" w:space="0" w:color="auto"/>
              <w:left w:val="nil"/>
              <w:bottom w:val="single" w:sz="4" w:space="0" w:color="auto"/>
              <w:right w:val="nil"/>
            </w:tcBorders>
            <w:shd w:val="clear" w:color="auto" w:fill="auto"/>
            <w:vAlign w:val="center"/>
            <w:hideMark/>
          </w:tcPr>
          <w:p w:rsidR="00341322" w:rsidRPr="00C06EA8" w:rsidRDefault="00341322" w:rsidP="00341322">
            <w:pPr>
              <w:pStyle w:val="15Tabletext"/>
              <w:rPr>
                <w:rFonts w:ascii="新細明體" w:hAnsi="新細明體"/>
                <w:szCs w:val="20"/>
              </w:rPr>
            </w:pPr>
            <w:r w:rsidRPr="00C06EA8">
              <w:rPr>
                <w:rFonts w:ascii="新細明體" w:hAnsi="新細明體" w:hint="eastAsia"/>
                <w:szCs w:val="20"/>
              </w:rPr>
              <w:t>品牌形象</w:t>
            </w:r>
          </w:p>
        </w:tc>
        <w:tc>
          <w:tcPr>
            <w:tcW w:w="0" w:type="auto"/>
            <w:tcBorders>
              <w:top w:val="single" w:sz="8" w:space="0" w:color="auto"/>
              <w:left w:val="nil"/>
              <w:bottom w:val="single" w:sz="4" w:space="0" w:color="auto"/>
              <w:right w:val="nil"/>
            </w:tcBorders>
            <w:shd w:val="clear" w:color="auto" w:fill="auto"/>
            <w:hideMark/>
          </w:tcPr>
          <w:p w:rsidR="00341322" w:rsidRPr="00C06EA8" w:rsidRDefault="00341322" w:rsidP="00341322">
            <w:pPr>
              <w:pStyle w:val="15Tabletext"/>
              <w:rPr>
                <w:rFonts w:ascii="新細明體" w:hAnsi="新細明體"/>
                <w:szCs w:val="20"/>
              </w:rPr>
            </w:pPr>
            <w:r w:rsidRPr="00C06EA8">
              <w:rPr>
                <w:rFonts w:ascii="新細明體" w:hAnsi="新細明體" w:hint="eastAsia"/>
                <w:szCs w:val="20"/>
              </w:rPr>
              <w:t>運動防護</w:t>
            </w:r>
          </w:p>
        </w:tc>
      </w:tr>
      <w:tr w:rsidR="00341322" w:rsidRPr="00C06EA8" w:rsidTr="00341322">
        <w:tc>
          <w:tcPr>
            <w:tcW w:w="0" w:type="auto"/>
            <w:tcBorders>
              <w:top w:val="nil"/>
              <w:left w:val="nil"/>
              <w:bottom w:val="nil"/>
              <w:right w:val="nil"/>
            </w:tcBorders>
            <w:shd w:val="clear" w:color="auto" w:fill="auto"/>
            <w:hideMark/>
          </w:tcPr>
          <w:p w:rsidR="00341322" w:rsidRPr="00C06EA8" w:rsidRDefault="00341322" w:rsidP="00341322">
            <w:pPr>
              <w:pStyle w:val="15Tabletext"/>
              <w:rPr>
                <w:rFonts w:ascii="新細明體" w:hAnsi="新細明體"/>
                <w:szCs w:val="20"/>
              </w:rPr>
            </w:pPr>
            <w:r w:rsidRPr="00C06EA8">
              <w:rPr>
                <w:rFonts w:ascii="新細明體" w:hAnsi="新細明體" w:hint="eastAsia"/>
                <w:szCs w:val="20"/>
              </w:rPr>
              <w:t>購買意願</w:t>
            </w:r>
            <w:r w:rsidRPr="00C06EA8">
              <w:rPr>
                <w:rFonts w:ascii="新細明體" w:hAnsi="新細明體"/>
                <w:szCs w:val="20"/>
              </w:rPr>
              <w:t xml:space="preserve">1: </w:t>
            </w:r>
            <w:r w:rsidRPr="00C06EA8">
              <w:rPr>
                <w:rFonts w:ascii="新細明體" w:hAnsi="新細明體" w:hint="eastAsia"/>
                <w:szCs w:val="20"/>
              </w:rPr>
              <w:t>款式多樣化</w:t>
            </w:r>
          </w:p>
        </w:tc>
        <w:tc>
          <w:tcPr>
            <w:tcW w:w="0" w:type="auto"/>
            <w:tcBorders>
              <w:top w:val="nil"/>
              <w:left w:val="nil"/>
              <w:bottom w:val="nil"/>
              <w:right w:val="nil"/>
            </w:tcBorders>
            <w:shd w:val="clear" w:color="auto" w:fill="auto"/>
            <w:hideMark/>
          </w:tcPr>
          <w:p w:rsidR="00341322" w:rsidRPr="00C06EA8" w:rsidRDefault="00341322" w:rsidP="00341322">
            <w:pPr>
              <w:pStyle w:val="15Tabletext"/>
              <w:rPr>
                <w:rFonts w:ascii="新細明體" w:hAnsi="新細明體"/>
                <w:szCs w:val="20"/>
              </w:rPr>
            </w:pPr>
            <w:r w:rsidRPr="00C06EA8">
              <w:rPr>
                <w:rFonts w:ascii="新細明體" w:hAnsi="新細明體"/>
                <w:szCs w:val="20"/>
              </w:rPr>
              <w:t>0.424**</w:t>
            </w:r>
          </w:p>
        </w:tc>
        <w:tc>
          <w:tcPr>
            <w:tcW w:w="0" w:type="auto"/>
            <w:tcBorders>
              <w:top w:val="nil"/>
              <w:left w:val="nil"/>
              <w:bottom w:val="nil"/>
              <w:right w:val="nil"/>
            </w:tcBorders>
            <w:shd w:val="clear" w:color="auto" w:fill="auto"/>
            <w:hideMark/>
          </w:tcPr>
          <w:p w:rsidR="00341322" w:rsidRPr="00C06EA8" w:rsidRDefault="00341322" w:rsidP="00341322">
            <w:pPr>
              <w:pStyle w:val="15Tabletext"/>
              <w:rPr>
                <w:rFonts w:ascii="新細明體" w:hAnsi="新細明體"/>
                <w:szCs w:val="20"/>
              </w:rPr>
            </w:pPr>
            <w:r w:rsidRPr="00C06EA8">
              <w:rPr>
                <w:rFonts w:ascii="新細明體" w:hAnsi="新細明體"/>
                <w:szCs w:val="20"/>
              </w:rPr>
              <w:t>0.433**</w:t>
            </w:r>
          </w:p>
        </w:tc>
        <w:tc>
          <w:tcPr>
            <w:tcW w:w="0" w:type="auto"/>
            <w:tcBorders>
              <w:top w:val="nil"/>
              <w:left w:val="nil"/>
              <w:bottom w:val="nil"/>
              <w:right w:val="nil"/>
            </w:tcBorders>
            <w:shd w:val="clear" w:color="auto" w:fill="auto"/>
            <w:hideMark/>
          </w:tcPr>
          <w:p w:rsidR="00341322" w:rsidRPr="00C06EA8" w:rsidRDefault="00341322" w:rsidP="00341322">
            <w:pPr>
              <w:pStyle w:val="15Tabletext"/>
              <w:rPr>
                <w:rFonts w:ascii="新細明體" w:hAnsi="新細明體"/>
                <w:szCs w:val="20"/>
              </w:rPr>
            </w:pPr>
            <w:r w:rsidRPr="00C06EA8">
              <w:rPr>
                <w:rFonts w:ascii="新細明體" w:hAnsi="新細明體"/>
                <w:szCs w:val="20"/>
              </w:rPr>
              <w:t>0.289**</w:t>
            </w:r>
          </w:p>
        </w:tc>
      </w:tr>
      <w:tr w:rsidR="00341322" w:rsidRPr="00C06EA8" w:rsidTr="00341322">
        <w:tc>
          <w:tcPr>
            <w:tcW w:w="0" w:type="auto"/>
            <w:tcBorders>
              <w:top w:val="nil"/>
              <w:left w:val="nil"/>
              <w:bottom w:val="nil"/>
              <w:right w:val="nil"/>
            </w:tcBorders>
            <w:shd w:val="clear" w:color="auto" w:fill="auto"/>
            <w:vAlign w:val="center"/>
            <w:hideMark/>
          </w:tcPr>
          <w:p w:rsidR="00341322" w:rsidRPr="00C06EA8" w:rsidRDefault="00341322" w:rsidP="00341322">
            <w:pPr>
              <w:pStyle w:val="15Tabletext"/>
              <w:rPr>
                <w:rFonts w:ascii="新細明體" w:hAnsi="新細明體"/>
                <w:szCs w:val="20"/>
              </w:rPr>
            </w:pPr>
            <w:r w:rsidRPr="00C06EA8">
              <w:rPr>
                <w:rFonts w:ascii="新細明體" w:hAnsi="新細明體" w:hint="eastAsia"/>
                <w:szCs w:val="20"/>
              </w:rPr>
              <w:t>購買意願</w:t>
            </w:r>
            <w:r w:rsidRPr="00C06EA8">
              <w:rPr>
                <w:rFonts w:ascii="新細明體" w:hAnsi="新細明體" w:cs="Calibri"/>
                <w:szCs w:val="20"/>
              </w:rPr>
              <w:t>2:</w:t>
            </w:r>
            <w:r w:rsidRPr="00C06EA8">
              <w:rPr>
                <w:rFonts w:ascii="新細明體" w:hAnsi="新細明體"/>
                <w:szCs w:val="20"/>
              </w:rPr>
              <w:t xml:space="preserve"> </w:t>
            </w:r>
            <w:r w:rsidRPr="00C06EA8">
              <w:rPr>
                <w:rFonts w:ascii="新細明體" w:hAnsi="新細明體" w:hint="eastAsia"/>
                <w:szCs w:val="20"/>
              </w:rPr>
              <w:t>未來購買更多產品</w:t>
            </w:r>
          </w:p>
        </w:tc>
        <w:tc>
          <w:tcPr>
            <w:tcW w:w="0" w:type="auto"/>
            <w:tcBorders>
              <w:top w:val="nil"/>
              <w:left w:val="nil"/>
              <w:bottom w:val="nil"/>
              <w:right w:val="nil"/>
            </w:tcBorders>
            <w:shd w:val="clear" w:color="auto" w:fill="auto"/>
            <w:vAlign w:val="center"/>
            <w:hideMark/>
          </w:tcPr>
          <w:p w:rsidR="00341322" w:rsidRPr="00C06EA8" w:rsidRDefault="00341322" w:rsidP="00341322">
            <w:pPr>
              <w:pStyle w:val="15Tabletext"/>
              <w:rPr>
                <w:rFonts w:ascii="新細明體" w:hAnsi="新細明體"/>
                <w:szCs w:val="20"/>
              </w:rPr>
            </w:pPr>
            <w:r w:rsidRPr="00C06EA8">
              <w:rPr>
                <w:rFonts w:ascii="新細明體" w:hAnsi="新細明體" w:cs="Calibri"/>
                <w:szCs w:val="20"/>
              </w:rPr>
              <w:t>0.559**</w:t>
            </w:r>
          </w:p>
        </w:tc>
        <w:tc>
          <w:tcPr>
            <w:tcW w:w="0" w:type="auto"/>
            <w:tcBorders>
              <w:top w:val="nil"/>
              <w:left w:val="nil"/>
              <w:bottom w:val="nil"/>
              <w:right w:val="nil"/>
            </w:tcBorders>
            <w:shd w:val="clear" w:color="auto" w:fill="auto"/>
            <w:vAlign w:val="center"/>
            <w:hideMark/>
          </w:tcPr>
          <w:p w:rsidR="00341322" w:rsidRPr="00C06EA8" w:rsidRDefault="00341322" w:rsidP="00341322">
            <w:pPr>
              <w:pStyle w:val="15Tabletext"/>
              <w:rPr>
                <w:rFonts w:ascii="新細明體" w:hAnsi="新細明體"/>
                <w:szCs w:val="20"/>
              </w:rPr>
            </w:pPr>
            <w:r w:rsidRPr="00C06EA8">
              <w:rPr>
                <w:rFonts w:ascii="新細明體" w:hAnsi="新細明體" w:cs="Calibri"/>
                <w:szCs w:val="20"/>
              </w:rPr>
              <w:t>0.428**</w:t>
            </w:r>
          </w:p>
        </w:tc>
        <w:tc>
          <w:tcPr>
            <w:tcW w:w="0" w:type="auto"/>
            <w:tcBorders>
              <w:top w:val="nil"/>
              <w:left w:val="nil"/>
              <w:bottom w:val="nil"/>
              <w:right w:val="nil"/>
            </w:tcBorders>
            <w:shd w:val="clear" w:color="auto" w:fill="auto"/>
            <w:vAlign w:val="center"/>
            <w:hideMark/>
          </w:tcPr>
          <w:p w:rsidR="00341322" w:rsidRPr="00C06EA8" w:rsidRDefault="00341322" w:rsidP="00341322">
            <w:pPr>
              <w:pStyle w:val="15Tabletext"/>
              <w:rPr>
                <w:rFonts w:ascii="新細明體" w:hAnsi="新細明體"/>
                <w:szCs w:val="20"/>
              </w:rPr>
            </w:pPr>
            <w:r w:rsidRPr="00C06EA8">
              <w:rPr>
                <w:rFonts w:ascii="新細明體" w:hAnsi="新細明體" w:cs="Calibri"/>
                <w:szCs w:val="20"/>
              </w:rPr>
              <w:t>0.441**</w:t>
            </w:r>
          </w:p>
        </w:tc>
      </w:tr>
      <w:tr w:rsidR="00341322" w:rsidRPr="00C06EA8" w:rsidTr="00341322">
        <w:tc>
          <w:tcPr>
            <w:tcW w:w="0" w:type="auto"/>
            <w:tcBorders>
              <w:top w:val="nil"/>
              <w:left w:val="nil"/>
              <w:bottom w:val="single" w:sz="8" w:space="0" w:color="auto"/>
              <w:right w:val="nil"/>
            </w:tcBorders>
            <w:shd w:val="clear" w:color="auto" w:fill="auto"/>
            <w:vAlign w:val="center"/>
            <w:hideMark/>
          </w:tcPr>
          <w:p w:rsidR="00341322" w:rsidRPr="00C06EA8" w:rsidRDefault="00341322" w:rsidP="00341322">
            <w:pPr>
              <w:pStyle w:val="15Tabletext"/>
              <w:rPr>
                <w:rFonts w:ascii="新細明體" w:hAnsi="新細明體"/>
                <w:szCs w:val="20"/>
              </w:rPr>
            </w:pPr>
            <w:r w:rsidRPr="00C06EA8">
              <w:rPr>
                <w:rFonts w:ascii="新細明體" w:hAnsi="新細明體" w:hint="eastAsia"/>
                <w:szCs w:val="20"/>
              </w:rPr>
              <w:t>購買意願</w:t>
            </w:r>
            <w:r w:rsidRPr="00C06EA8">
              <w:rPr>
                <w:rFonts w:ascii="新細明體" w:hAnsi="新細明體" w:cs="Calibri"/>
                <w:szCs w:val="20"/>
              </w:rPr>
              <w:t>3:</w:t>
            </w:r>
            <w:r w:rsidRPr="00C06EA8">
              <w:rPr>
                <w:rFonts w:ascii="新細明體" w:hAnsi="新細明體"/>
                <w:szCs w:val="20"/>
              </w:rPr>
              <w:t xml:space="preserve"> </w:t>
            </w:r>
            <w:r w:rsidRPr="00C06EA8">
              <w:rPr>
                <w:rFonts w:ascii="新細明體" w:hAnsi="新細明體" w:hint="eastAsia"/>
                <w:szCs w:val="20"/>
              </w:rPr>
              <w:t>與他人推薦</w:t>
            </w:r>
          </w:p>
        </w:tc>
        <w:tc>
          <w:tcPr>
            <w:tcW w:w="0" w:type="auto"/>
            <w:tcBorders>
              <w:top w:val="nil"/>
              <w:left w:val="nil"/>
              <w:bottom w:val="single" w:sz="8" w:space="0" w:color="auto"/>
              <w:right w:val="nil"/>
            </w:tcBorders>
            <w:shd w:val="clear" w:color="auto" w:fill="auto"/>
            <w:vAlign w:val="center"/>
            <w:hideMark/>
          </w:tcPr>
          <w:p w:rsidR="00341322" w:rsidRPr="00C06EA8" w:rsidRDefault="00341322" w:rsidP="00341322">
            <w:pPr>
              <w:pStyle w:val="15Tabletext"/>
              <w:rPr>
                <w:rFonts w:ascii="新細明體" w:hAnsi="新細明體" w:cs="Calibri"/>
                <w:szCs w:val="20"/>
              </w:rPr>
            </w:pPr>
            <w:r w:rsidRPr="00C06EA8">
              <w:rPr>
                <w:rFonts w:ascii="新細明體" w:hAnsi="新細明體" w:cs="Calibri"/>
                <w:szCs w:val="20"/>
              </w:rPr>
              <w:t>0.435**</w:t>
            </w:r>
          </w:p>
        </w:tc>
        <w:tc>
          <w:tcPr>
            <w:tcW w:w="0" w:type="auto"/>
            <w:tcBorders>
              <w:top w:val="nil"/>
              <w:left w:val="nil"/>
              <w:bottom w:val="single" w:sz="8" w:space="0" w:color="auto"/>
              <w:right w:val="nil"/>
            </w:tcBorders>
            <w:shd w:val="clear" w:color="auto" w:fill="auto"/>
            <w:vAlign w:val="center"/>
            <w:hideMark/>
          </w:tcPr>
          <w:p w:rsidR="00341322" w:rsidRPr="00C06EA8" w:rsidRDefault="00341322" w:rsidP="00341322">
            <w:pPr>
              <w:pStyle w:val="15Tabletext"/>
              <w:rPr>
                <w:rFonts w:ascii="新細明體" w:hAnsi="新細明體" w:cs="Calibri"/>
                <w:szCs w:val="20"/>
              </w:rPr>
            </w:pPr>
            <w:r w:rsidRPr="00C06EA8">
              <w:rPr>
                <w:rFonts w:ascii="新細明體" w:hAnsi="新細明體" w:cs="Calibri"/>
                <w:szCs w:val="20"/>
              </w:rPr>
              <w:t>0.507**</w:t>
            </w:r>
          </w:p>
        </w:tc>
        <w:tc>
          <w:tcPr>
            <w:tcW w:w="0" w:type="auto"/>
            <w:tcBorders>
              <w:top w:val="nil"/>
              <w:left w:val="nil"/>
              <w:bottom w:val="single" w:sz="8" w:space="0" w:color="auto"/>
              <w:right w:val="nil"/>
            </w:tcBorders>
            <w:shd w:val="clear" w:color="auto" w:fill="auto"/>
            <w:vAlign w:val="center"/>
            <w:hideMark/>
          </w:tcPr>
          <w:p w:rsidR="00341322" w:rsidRPr="00C06EA8" w:rsidRDefault="00341322" w:rsidP="00341322">
            <w:pPr>
              <w:pStyle w:val="15Tabletext"/>
              <w:rPr>
                <w:rFonts w:ascii="新細明體" w:hAnsi="新細明體" w:cs="Calibri"/>
                <w:szCs w:val="20"/>
              </w:rPr>
            </w:pPr>
            <w:r w:rsidRPr="00C06EA8">
              <w:rPr>
                <w:rFonts w:ascii="新細明體" w:hAnsi="新細明體" w:cs="Calibri"/>
                <w:szCs w:val="20"/>
              </w:rPr>
              <w:t>0.355**</w:t>
            </w:r>
          </w:p>
        </w:tc>
      </w:tr>
    </w:tbl>
    <w:p w:rsidR="008F435C" w:rsidRPr="00C06EA8" w:rsidRDefault="00341322" w:rsidP="00341322">
      <w:pPr>
        <w:pStyle w:val="17"/>
        <w:rPr>
          <w:rFonts w:ascii="新細明體" w:hAnsi="新細明體"/>
          <w:sz w:val="20"/>
        </w:rPr>
      </w:pPr>
      <w:r w:rsidRPr="00C06EA8">
        <w:rPr>
          <w:rFonts w:ascii="新細明體" w:hAnsi="新細明體"/>
          <w:sz w:val="20"/>
        </w:rPr>
        <w:t>*</w:t>
      </w:r>
      <w:r w:rsidRPr="00C06EA8">
        <w:rPr>
          <w:rFonts w:ascii="新細明體" w:hAnsi="新細明體" w:hint="eastAsia"/>
          <w:sz w:val="20"/>
        </w:rPr>
        <w:t>表示</w:t>
      </w:r>
      <w:r w:rsidRPr="00C06EA8">
        <w:rPr>
          <w:rFonts w:ascii="新細明體" w:hAnsi="新細明體"/>
          <w:sz w:val="20"/>
        </w:rPr>
        <w:t>p</w:t>
      </w:r>
      <w:r w:rsidRPr="00C06EA8">
        <w:rPr>
          <w:rFonts w:ascii="新細明體" w:hAnsi="新細明體" w:hint="eastAsia"/>
          <w:sz w:val="20"/>
        </w:rPr>
        <w:t>＜</w:t>
      </w:r>
      <w:r w:rsidRPr="00C06EA8">
        <w:rPr>
          <w:rFonts w:ascii="新細明體" w:hAnsi="新細明體"/>
          <w:sz w:val="20"/>
        </w:rPr>
        <w:t>0.05</w:t>
      </w:r>
      <w:r w:rsidRPr="00C06EA8">
        <w:rPr>
          <w:rFonts w:ascii="新細明體" w:hAnsi="新細明體" w:hint="eastAsia"/>
          <w:sz w:val="20"/>
        </w:rPr>
        <w:t>（雙尾）；</w:t>
      </w:r>
      <w:r w:rsidRPr="00C06EA8">
        <w:rPr>
          <w:rFonts w:ascii="新細明體" w:hAnsi="新細明體"/>
          <w:sz w:val="20"/>
        </w:rPr>
        <w:t>**</w:t>
      </w:r>
      <w:r w:rsidRPr="00C06EA8">
        <w:rPr>
          <w:rFonts w:ascii="新細明體" w:hAnsi="新細明體" w:hint="eastAsia"/>
          <w:sz w:val="20"/>
        </w:rPr>
        <w:t>表示</w:t>
      </w:r>
      <w:r w:rsidRPr="00C06EA8">
        <w:rPr>
          <w:rFonts w:ascii="新細明體" w:hAnsi="新細明體"/>
          <w:sz w:val="20"/>
        </w:rPr>
        <w:t>p</w:t>
      </w:r>
      <w:r w:rsidRPr="00C06EA8">
        <w:rPr>
          <w:rFonts w:ascii="新細明體" w:hAnsi="新細明體" w:hint="eastAsia"/>
          <w:sz w:val="20"/>
        </w:rPr>
        <w:t>＜</w:t>
      </w:r>
      <w:r w:rsidRPr="00C06EA8">
        <w:rPr>
          <w:rFonts w:ascii="新細明體" w:hAnsi="新細明體"/>
          <w:sz w:val="20"/>
        </w:rPr>
        <w:t>0.01</w:t>
      </w:r>
      <w:r w:rsidRPr="00C06EA8">
        <w:rPr>
          <w:rFonts w:ascii="新細明體" w:hAnsi="新細明體" w:hint="eastAsia"/>
          <w:sz w:val="20"/>
        </w:rPr>
        <w:t>（雙尾），</w:t>
      </w:r>
      <w:r w:rsidRPr="00C06EA8">
        <w:rPr>
          <w:rFonts w:ascii="新細明體" w:hAnsi="新細明體"/>
          <w:sz w:val="20"/>
        </w:rPr>
        <w:t>***</w:t>
      </w:r>
      <w:r w:rsidRPr="00C06EA8">
        <w:rPr>
          <w:rFonts w:ascii="新細明體" w:hAnsi="新細明體" w:hint="eastAsia"/>
          <w:sz w:val="20"/>
        </w:rPr>
        <w:t>表示</w:t>
      </w:r>
      <w:r w:rsidRPr="00C06EA8">
        <w:rPr>
          <w:rFonts w:ascii="新細明體" w:hAnsi="新細明體"/>
          <w:sz w:val="20"/>
        </w:rPr>
        <w:t>p</w:t>
      </w:r>
      <w:r w:rsidRPr="00C06EA8">
        <w:rPr>
          <w:rFonts w:ascii="新細明體" w:hAnsi="新細明體" w:hint="eastAsia"/>
          <w:sz w:val="20"/>
        </w:rPr>
        <w:t>＜</w:t>
      </w:r>
      <w:r w:rsidRPr="00C06EA8">
        <w:rPr>
          <w:rFonts w:ascii="新細明體" w:hAnsi="新細明體"/>
          <w:sz w:val="20"/>
        </w:rPr>
        <w:t>0.001</w:t>
      </w:r>
      <w:r w:rsidRPr="00C06EA8">
        <w:rPr>
          <w:rFonts w:ascii="新細明體" w:hAnsi="新細明體" w:hint="eastAsia"/>
          <w:sz w:val="20"/>
        </w:rPr>
        <w:t>（雙尾）</w:t>
      </w:r>
    </w:p>
    <w:p w:rsidR="006A61D8" w:rsidRPr="00AF33DD" w:rsidRDefault="006A61D8" w:rsidP="00AF33DD">
      <w:pPr>
        <w:pStyle w:val="111"/>
      </w:pPr>
      <w:r w:rsidRPr="00C06EA8">
        <w:rPr>
          <w:rFonts w:hint="eastAsia"/>
        </w:rPr>
        <w:t>假設</w:t>
      </w:r>
      <w:proofErr w:type="gramStart"/>
      <w:r w:rsidRPr="00C06EA8">
        <w:rPr>
          <w:rFonts w:hint="eastAsia"/>
        </w:rPr>
        <w:t>一</w:t>
      </w:r>
      <w:proofErr w:type="gramEnd"/>
      <w:r w:rsidRPr="00C06EA8">
        <w:t>:</w:t>
      </w:r>
      <w:r w:rsidRPr="00C06EA8">
        <w:rPr>
          <w:rFonts w:hint="eastAsia"/>
        </w:rPr>
        <w:t>知覺價值對運動鞋類之購買意願具正向影響關係</w:t>
      </w:r>
    </w:p>
    <w:p w:rsidR="006A61D8" w:rsidRPr="00C06EA8" w:rsidRDefault="00014DDD" w:rsidP="00AF33DD">
      <w:pPr>
        <w:pStyle w:val="12Text"/>
      </w:pPr>
      <w:r w:rsidRPr="00AF33DD">
        <w:rPr>
          <w:rFonts w:hint="eastAsia"/>
        </w:rPr>
        <w:t>由</w:t>
      </w:r>
      <w:r w:rsidRPr="00C06EA8">
        <w:fldChar w:fldCharType="begin"/>
      </w:r>
      <w:r w:rsidRPr="00C06EA8">
        <w:instrText xml:space="preserve"> </w:instrText>
      </w:r>
      <w:r w:rsidRPr="00C06EA8">
        <w:rPr>
          <w:rFonts w:hint="eastAsia"/>
        </w:rPr>
        <w:instrText>REF _Ref70659190 \h</w:instrText>
      </w:r>
      <w:r w:rsidRPr="00C06EA8">
        <w:instrText xml:space="preserve"> </w:instrText>
      </w:r>
      <w:r w:rsidR="00C06EA8" w:rsidRPr="00C06EA8">
        <w:instrText xml:space="preserve"> \* MERGEFORMAT </w:instrText>
      </w:r>
      <w:r w:rsidRPr="00C06EA8">
        <w:fldChar w:fldCharType="separate"/>
      </w:r>
      <w:r w:rsidR="00C22847" w:rsidRPr="00C06EA8">
        <w:rPr>
          <w:rFonts w:hint="eastAsia"/>
        </w:rPr>
        <w:t>圖</w:t>
      </w:r>
      <w:r w:rsidR="00C22847" w:rsidRPr="00C06EA8">
        <w:rPr>
          <w:rFonts w:hint="eastAsia"/>
        </w:rPr>
        <w:t xml:space="preserve"> </w:t>
      </w:r>
      <w:r w:rsidR="00C22847" w:rsidRPr="00C06EA8">
        <w:rPr>
          <w:noProof/>
        </w:rPr>
        <w:t>4</w:t>
      </w:r>
      <w:r w:rsidRPr="00C06EA8">
        <w:fldChar w:fldCharType="end"/>
      </w:r>
      <w:r w:rsidR="00C8054F" w:rsidRPr="00AF33DD">
        <w:rPr>
          <w:rFonts w:hint="eastAsia"/>
        </w:rPr>
        <w:t>和</w:t>
      </w:r>
      <w:r w:rsidR="00C8054F" w:rsidRPr="00C06EA8">
        <w:fldChar w:fldCharType="begin"/>
      </w:r>
      <w:r w:rsidR="00C8054F" w:rsidRPr="00C06EA8">
        <w:instrText xml:space="preserve"> REF _Ref70867469 \h </w:instrText>
      </w:r>
      <w:r w:rsidR="00C06EA8" w:rsidRPr="00C06EA8">
        <w:instrText xml:space="preserve"> \* MERGEFORMAT </w:instrText>
      </w:r>
      <w:r w:rsidR="00C8054F" w:rsidRPr="00C06EA8">
        <w:fldChar w:fldCharType="separate"/>
      </w:r>
      <w:r w:rsidR="00C22847" w:rsidRPr="00C06EA8">
        <w:rPr>
          <w:rFonts w:hint="eastAsia"/>
        </w:rPr>
        <w:t>表</w:t>
      </w:r>
      <w:r w:rsidR="00C22847" w:rsidRPr="00C06EA8">
        <w:rPr>
          <w:rFonts w:hint="eastAsia"/>
        </w:rPr>
        <w:t xml:space="preserve"> </w:t>
      </w:r>
      <w:r w:rsidR="00C22847" w:rsidRPr="00C06EA8">
        <w:rPr>
          <w:noProof/>
        </w:rPr>
        <w:t>7</w:t>
      </w:r>
      <w:r w:rsidR="00C8054F" w:rsidRPr="00C06EA8">
        <w:fldChar w:fldCharType="end"/>
      </w:r>
      <w:r w:rsidR="009E6BF1" w:rsidRPr="00C06EA8">
        <w:rPr>
          <w:rFonts w:hint="eastAsia"/>
        </w:rPr>
        <w:t>可以從皮爾森相關分析之定義得知運動鞋類的</w:t>
      </w:r>
      <w:r w:rsidR="00B81F13" w:rsidRPr="00C06EA8">
        <w:rPr>
          <w:rFonts w:hint="eastAsia"/>
        </w:rPr>
        <w:t>知覺價值對</w:t>
      </w:r>
      <w:r w:rsidR="009E6BF1" w:rsidRPr="00C06EA8">
        <w:rPr>
          <w:rFonts w:hint="eastAsia"/>
        </w:rPr>
        <w:t>購買意願三種構面都具中度相關。</w:t>
      </w:r>
      <w:r w:rsidR="006A61D8" w:rsidRPr="00C06EA8">
        <w:rPr>
          <w:rFonts w:hint="eastAsia"/>
        </w:rPr>
        <w:t>研究得知消費者知覺價值對運動鞋類之購買意願具正向影響關係，消費者購買意願與知覺價值有正向的關係，消費者對產品和服務的知覺價值高，購買意願也會越高，高低取決於從產品和服務中所獲得的價值和利益</w:t>
      </w:r>
      <w:r w:rsidR="006A61D8" w:rsidRPr="00C06EA8">
        <w:t>(Zeithaml</w:t>
      </w:r>
      <w:r w:rsidR="006A61D8" w:rsidRPr="00AF33DD">
        <w:t>,1988)[</w:t>
      </w:r>
      <w:r w:rsidR="00E60409" w:rsidRPr="00C06EA8">
        <w:fldChar w:fldCharType="begin"/>
      </w:r>
      <w:r w:rsidR="00E60409" w:rsidRPr="00C06EA8">
        <w:instrText xml:space="preserve"> REF _Ref70657257 \r \h </w:instrText>
      </w:r>
      <w:r w:rsidR="00C06EA8" w:rsidRPr="00C06EA8">
        <w:instrText xml:space="preserve"> \* MERGEFORMAT </w:instrText>
      </w:r>
      <w:r w:rsidR="00E60409" w:rsidRPr="00C06EA8">
        <w:fldChar w:fldCharType="separate"/>
      </w:r>
      <w:r w:rsidR="00C22847" w:rsidRPr="00C06EA8">
        <w:t>27</w:t>
      </w:r>
      <w:r w:rsidR="00E60409" w:rsidRPr="00C06EA8">
        <w:fldChar w:fldCharType="end"/>
      </w:r>
      <w:r w:rsidR="006A61D8" w:rsidRPr="00AF33DD">
        <w:t>]</w:t>
      </w:r>
      <w:r w:rsidR="006A61D8" w:rsidRPr="00AF33DD">
        <w:rPr>
          <w:rFonts w:hint="eastAsia"/>
        </w:rPr>
        <w:t>、吳冠輩</w:t>
      </w:r>
      <w:r w:rsidR="006A61D8" w:rsidRPr="00AF33DD">
        <w:t>(2016)[</w:t>
      </w:r>
      <w:r w:rsidR="007F0405" w:rsidRPr="00C06EA8">
        <w:fldChar w:fldCharType="begin"/>
      </w:r>
      <w:r w:rsidR="007F0405" w:rsidRPr="00C06EA8">
        <w:instrText xml:space="preserve"> REF _Ref59190296 \r \h </w:instrText>
      </w:r>
      <w:r w:rsidR="00C06EA8" w:rsidRPr="00C06EA8">
        <w:instrText xml:space="preserve"> \* MERGEFORMAT </w:instrText>
      </w:r>
      <w:r w:rsidR="007F0405" w:rsidRPr="00C06EA8">
        <w:fldChar w:fldCharType="separate"/>
      </w:r>
      <w:r w:rsidR="00C22847" w:rsidRPr="00C06EA8">
        <w:t>28</w:t>
      </w:r>
      <w:r w:rsidR="007F0405" w:rsidRPr="00C06EA8">
        <w:fldChar w:fldCharType="end"/>
      </w:r>
      <w:r w:rsidR="006A61D8" w:rsidRPr="00AF33DD">
        <w:t>]</w:t>
      </w:r>
      <w:r w:rsidR="006A61D8" w:rsidRPr="00AF33DD">
        <w:rPr>
          <w:rFonts w:hint="eastAsia"/>
        </w:rPr>
        <w:t>研究網購</w:t>
      </w:r>
      <w:r w:rsidR="006A61D8" w:rsidRPr="00AF33DD">
        <w:t>3C</w:t>
      </w:r>
      <w:r w:rsidR="006A61D8" w:rsidRPr="00AF33DD">
        <w:rPr>
          <w:rFonts w:hint="eastAsia"/>
        </w:rPr>
        <w:t>商品察覺知覺價值會增加消費者的購買意願，帶來正向效果、</w:t>
      </w:r>
      <w:proofErr w:type="spellStart"/>
      <w:r w:rsidR="006A61D8" w:rsidRPr="00C06EA8">
        <w:t>Petrick</w:t>
      </w:r>
      <w:proofErr w:type="spellEnd"/>
      <w:r w:rsidR="006A61D8" w:rsidRPr="00AF33DD">
        <w:t xml:space="preserve"> (2002)[</w:t>
      </w:r>
      <w:r w:rsidR="007F0405" w:rsidRPr="00C06EA8">
        <w:fldChar w:fldCharType="begin"/>
      </w:r>
      <w:r w:rsidR="007F0405" w:rsidRPr="00C06EA8">
        <w:instrText xml:space="preserve"> REF _Ref70657282 \r \h </w:instrText>
      </w:r>
      <w:r w:rsidR="00C06EA8" w:rsidRPr="00C06EA8">
        <w:instrText xml:space="preserve"> \* MERGEFORMAT </w:instrText>
      </w:r>
      <w:r w:rsidR="007F0405" w:rsidRPr="00C06EA8">
        <w:fldChar w:fldCharType="separate"/>
      </w:r>
      <w:r w:rsidR="00C22847" w:rsidRPr="00C06EA8">
        <w:t>29</w:t>
      </w:r>
      <w:r w:rsidR="007F0405" w:rsidRPr="00C06EA8">
        <w:fldChar w:fldCharType="end"/>
      </w:r>
      <w:r w:rsidR="006A61D8" w:rsidRPr="00C06EA8">
        <w:t>]</w:t>
      </w:r>
      <w:r w:rsidR="006A61D8" w:rsidRPr="00C06EA8">
        <w:rPr>
          <w:rFonts w:hint="eastAsia"/>
        </w:rPr>
        <w:t>研究中，消費者對於商品</w:t>
      </w:r>
      <w:r w:rsidR="000E012B" w:rsidRPr="00C06EA8">
        <w:rPr>
          <w:rFonts w:hint="eastAsia"/>
        </w:rPr>
        <w:t>的知覺價值越高，對於商品的購買意願也越高，與上述</w:t>
      </w:r>
      <w:r w:rsidR="006A61D8" w:rsidRPr="00C06EA8">
        <w:rPr>
          <w:rFonts w:hint="eastAsia"/>
        </w:rPr>
        <w:t>學者研究都相同結果，由此可知，故本研究假設</w:t>
      </w:r>
      <w:r w:rsidR="006A61D8" w:rsidRPr="00C06EA8">
        <w:t>1</w:t>
      </w:r>
      <w:r w:rsidR="006A61D8" w:rsidRPr="00C06EA8">
        <w:rPr>
          <w:rFonts w:hint="eastAsia"/>
        </w:rPr>
        <w:t>成立。</w:t>
      </w:r>
    </w:p>
    <w:p w:rsidR="006A61D8" w:rsidRPr="00C06EA8" w:rsidRDefault="006A61D8" w:rsidP="00AF33DD">
      <w:pPr>
        <w:pStyle w:val="12Text"/>
      </w:pPr>
      <w:r w:rsidRPr="00C06EA8">
        <w:rPr>
          <w:rFonts w:hint="eastAsia"/>
        </w:rPr>
        <w:t>知覺價值與購買意願</w:t>
      </w:r>
      <w:r w:rsidRPr="00C06EA8">
        <w:t>1:</w:t>
      </w:r>
      <w:r w:rsidRPr="00C06EA8">
        <w:rPr>
          <w:rFonts w:hint="eastAsia"/>
        </w:rPr>
        <w:t>款式多樣化有相關，其可能原因為，當消費者對運動鞋類產生購買意願時，就</w:t>
      </w:r>
      <w:r w:rsidRPr="00C06EA8">
        <w:rPr>
          <w:rFonts w:hint="eastAsia"/>
        </w:rPr>
        <w:t>會面臨到，必需在如此多項的運動品牌以及多樣化的款式種類做出選擇，此時消</w:t>
      </w:r>
      <w:r w:rsidR="009E124A" w:rsidRPr="00C06EA8">
        <w:rPr>
          <w:rFonts w:hint="eastAsia"/>
        </w:rPr>
        <w:t>費者就會主觀的利用對運動品牌或運動項目的知覺價值做依據，評估</w:t>
      </w:r>
      <w:r w:rsidR="009E124A" w:rsidRPr="00C06EA8">
        <w:rPr>
          <w:rFonts w:hint="eastAsia"/>
          <w:lang w:eastAsia="zh-TW"/>
        </w:rPr>
        <w:t>選擇</w:t>
      </w:r>
      <w:r w:rsidR="009E124A" w:rsidRPr="00C06EA8">
        <w:rPr>
          <w:rFonts w:hint="eastAsia"/>
        </w:rPr>
        <w:t>運動鞋類或款式符合自身</w:t>
      </w:r>
      <w:r w:rsidRPr="00C06EA8">
        <w:rPr>
          <w:rFonts w:hint="eastAsia"/>
        </w:rPr>
        <w:t>，此種知覺價值屬於認知價值構面。在購買運動鞋類，消費者也會受到知覺價值中的貨幣價格構面影響，因此推斷運動品牌的款式多樣化，也有助於在價格能提供讓消費者有更多種的選擇。</w:t>
      </w:r>
    </w:p>
    <w:p w:rsidR="00C22AA1" w:rsidRPr="00AF33DD" w:rsidRDefault="006A61D8" w:rsidP="00AF33DD">
      <w:pPr>
        <w:pStyle w:val="12Text"/>
      </w:pPr>
      <w:r w:rsidRPr="00C06EA8">
        <w:rPr>
          <w:rFonts w:hint="eastAsia"/>
        </w:rPr>
        <w:t>知覺價值與購買意願</w:t>
      </w:r>
      <w:r w:rsidRPr="00C06EA8">
        <w:t>2:</w:t>
      </w:r>
      <w:r w:rsidR="00D560D5" w:rsidRPr="00C06EA8">
        <w:rPr>
          <w:rFonts w:hint="eastAsia"/>
        </w:rPr>
        <w:t>未來購買更多產品有相關，原因為</w:t>
      </w:r>
      <w:r w:rsidRPr="00C06EA8">
        <w:rPr>
          <w:rFonts w:hint="eastAsia"/>
        </w:rPr>
        <w:t>消費者的知覺價值不是只有在產生對運動鞋類購買意願時用來作為評估依據，在購買過程中對運動鞋類的產品和服務之感受，包含購買運動鞋類所需花費的時間等，尤其</w:t>
      </w:r>
      <w:r w:rsidR="00D560D5" w:rsidRPr="00C06EA8">
        <w:rPr>
          <w:rFonts w:hint="eastAsia"/>
          <w:lang w:eastAsia="zh-TW"/>
        </w:rPr>
        <w:t>如</w:t>
      </w:r>
      <w:r w:rsidR="00E06CB3" w:rsidRPr="00C06EA8">
        <w:rPr>
          <w:lang w:eastAsia="zh-TW"/>
        </w:rPr>
        <w:fldChar w:fldCharType="begin"/>
      </w:r>
      <w:r w:rsidR="00E06CB3" w:rsidRPr="00C06EA8">
        <w:rPr>
          <w:lang w:eastAsia="zh-TW"/>
        </w:rPr>
        <w:instrText xml:space="preserve"> </w:instrText>
      </w:r>
      <w:r w:rsidR="00E06CB3" w:rsidRPr="00C06EA8">
        <w:rPr>
          <w:rFonts w:hint="eastAsia"/>
          <w:lang w:eastAsia="zh-TW"/>
        </w:rPr>
        <w:instrText>REF _Ref70791727 \h</w:instrText>
      </w:r>
      <w:r w:rsidR="00E06CB3" w:rsidRPr="00C06EA8">
        <w:rPr>
          <w:lang w:eastAsia="zh-TW"/>
        </w:rPr>
        <w:instrText xml:space="preserve"> </w:instrText>
      </w:r>
      <w:r w:rsidR="00C06EA8" w:rsidRPr="00C06EA8">
        <w:rPr>
          <w:lang w:eastAsia="zh-TW"/>
        </w:rPr>
        <w:instrText xml:space="preserve"> \* MERGEFORMAT </w:instrText>
      </w:r>
      <w:r w:rsidR="00E06CB3" w:rsidRPr="00C06EA8">
        <w:rPr>
          <w:lang w:eastAsia="zh-TW"/>
        </w:rPr>
      </w:r>
      <w:r w:rsidR="00E06CB3" w:rsidRPr="00C06EA8">
        <w:rPr>
          <w:lang w:eastAsia="zh-TW"/>
        </w:rPr>
        <w:fldChar w:fldCharType="separate"/>
      </w:r>
      <w:r w:rsidR="00C22847" w:rsidRPr="00C06EA8">
        <w:rPr>
          <w:rFonts w:hint="eastAsia"/>
        </w:rPr>
        <w:t>圖</w:t>
      </w:r>
      <w:r w:rsidR="00C22847" w:rsidRPr="00C06EA8">
        <w:rPr>
          <w:rFonts w:hint="eastAsia"/>
        </w:rPr>
        <w:t xml:space="preserve"> </w:t>
      </w:r>
      <w:r w:rsidR="00C22847" w:rsidRPr="00C06EA8">
        <w:rPr>
          <w:noProof/>
        </w:rPr>
        <w:t>3</w:t>
      </w:r>
      <w:r w:rsidR="00E06CB3" w:rsidRPr="00C06EA8">
        <w:rPr>
          <w:lang w:eastAsia="zh-TW"/>
        </w:rPr>
        <w:fldChar w:fldCharType="end"/>
      </w:r>
      <w:r w:rsidRPr="00AF33DD">
        <w:rPr>
          <w:rFonts w:hint="eastAsia"/>
        </w:rPr>
        <w:t>所</w:t>
      </w:r>
      <w:r w:rsidR="00A07CA7" w:rsidRPr="00AF33DD">
        <w:rPr>
          <w:rFonts w:hint="eastAsia"/>
        </w:rPr>
        <w:t>示</w:t>
      </w:r>
      <w:r w:rsidRPr="00AF33DD">
        <w:rPr>
          <w:rFonts w:hint="eastAsia"/>
        </w:rPr>
        <w:t>，大多數的消費者對運動鞋類的購買方式都是屬於到實體商店做購買，以及後續對運動鞋類的使用體驗性，都會造成消費者影響到未來是否願意購買更多產品之決策，上述較屬於知覺價值中的品質以及行為價值構面。</w:t>
      </w:r>
      <w:bookmarkStart w:id="11" w:name="_Ref59077578"/>
      <w:bookmarkStart w:id="12" w:name="_Ref70659100"/>
      <w:bookmarkStart w:id="13" w:name="_Toc59221795"/>
    </w:p>
    <w:p w:rsidR="00E06CB3" w:rsidRPr="00AF33DD" w:rsidRDefault="00976502" w:rsidP="00CD03DB">
      <w:pPr>
        <w:pStyle w:val="080"/>
      </w:pPr>
      <w:r w:rsidRPr="00AF33DD">
        <w:drawing>
          <wp:inline distT="0" distB="0" distL="0" distR="0" wp14:anchorId="08D3064E" wp14:editId="22A58321">
            <wp:extent cx="2520563" cy="1335820"/>
            <wp:effectExtent l="0" t="0" r="0" b="0"/>
            <wp:docPr id="3" name="圖表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bookmarkEnd w:id="11"/>
    </w:p>
    <w:p w:rsidR="006A61D8" w:rsidRPr="00AF33DD" w:rsidRDefault="00D560D5" w:rsidP="00CD03DB">
      <w:pPr>
        <w:pStyle w:val="08"/>
      </w:pPr>
      <w:bookmarkStart w:id="14" w:name="_Ref70791727"/>
      <w:r w:rsidRPr="00AF33DD">
        <w:rPr>
          <w:rFonts w:hint="eastAsia"/>
        </w:rPr>
        <w:t>圖</w:t>
      </w:r>
      <w:r w:rsidRPr="00AF33DD">
        <w:rPr>
          <w:rFonts w:hint="eastAsia"/>
        </w:rPr>
        <w:t xml:space="preserve"> </w:t>
      </w:r>
      <w:r w:rsidRPr="00AF33DD">
        <w:fldChar w:fldCharType="begin"/>
      </w:r>
      <w:r w:rsidRPr="00AF33DD">
        <w:instrText xml:space="preserve"> </w:instrText>
      </w:r>
      <w:r w:rsidRPr="00AF33DD">
        <w:rPr>
          <w:rFonts w:hint="eastAsia"/>
        </w:rPr>
        <w:instrText xml:space="preserve">SEQ </w:instrText>
      </w:r>
      <w:r w:rsidRPr="00AF33DD">
        <w:rPr>
          <w:rFonts w:hint="eastAsia"/>
        </w:rPr>
        <w:instrText>圖</w:instrText>
      </w:r>
      <w:r w:rsidRPr="00AF33DD">
        <w:rPr>
          <w:rFonts w:hint="eastAsia"/>
        </w:rPr>
        <w:instrText xml:space="preserve"> \* ARABIC</w:instrText>
      </w:r>
      <w:r w:rsidRPr="00AF33DD">
        <w:instrText xml:space="preserve"> </w:instrText>
      </w:r>
      <w:r w:rsidRPr="00AF33DD">
        <w:fldChar w:fldCharType="separate"/>
      </w:r>
      <w:r w:rsidR="00C22847" w:rsidRPr="00AF33DD">
        <w:t>3</w:t>
      </w:r>
      <w:r w:rsidRPr="00AF33DD">
        <w:fldChar w:fldCharType="end"/>
      </w:r>
      <w:bookmarkEnd w:id="12"/>
      <w:bookmarkEnd w:id="14"/>
      <w:r w:rsidR="006A61D8" w:rsidRPr="00AF33DD">
        <w:rPr>
          <w:rFonts w:hint="eastAsia"/>
        </w:rPr>
        <w:t>消費者對運動鞋類的購買方式</w:t>
      </w:r>
      <w:bookmarkEnd w:id="13"/>
    </w:p>
    <w:p w:rsidR="00297197" w:rsidRPr="00C06EA8" w:rsidRDefault="006A61D8" w:rsidP="00AF33DD">
      <w:pPr>
        <w:pStyle w:val="12Text"/>
      </w:pPr>
      <w:r w:rsidRPr="00C06EA8">
        <w:rPr>
          <w:rFonts w:hint="eastAsia"/>
        </w:rPr>
        <w:t>知覺價值與購買意願</w:t>
      </w:r>
      <w:r w:rsidRPr="00C06EA8">
        <w:t xml:space="preserve">3: </w:t>
      </w:r>
      <w:r w:rsidRPr="00C06EA8">
        <w:rPr>
          <w:rFonts w:hint="eastAsia"/>
        </w:rPr>
        <w:t>與他人推薦有相關，其可能原因為，消費者對於運動鞋類的購買意願之決策，會受到周圍群體影響，如社團、朋友等，消費者會參考身邊的朋友或團體對運動鞋類的看法，作為購買意願的依據，此知覺價值較屬於社會價值構面。</w:t>
      </w:r>
    </w:p>
    <w:p w:rsidR="00516A54" w:rsidRPr="00AF33DD" w:rsidRDefault="00976502" w:rsidP="00AF33DD">
      <w:r w:rsidRPr="00AF33DD">
        <w:drawing>
          <wp:inline distT="0" distB="0" distL="0" distR="0" wp14:anchorId="42A44395" wp14:editId="32C1869E">
            <wp:extent cx="2665095" cy="1626870"/>
            <wp:effectExtent l="0" t="0" r="0" b="0"/>
            <wp:docPr id="4" name="圖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665095" cy="1626870"/>
                    </a:xfrm>
                    <a:prstGeom prst="rect">
                      <a:avLst/>
                    </a:prstGeom>
                    <a:noFill/>
                    <a:ln>
                      <a:noFill/>
                    </a:ln>
                  </pic:spPr>
                </pic:pic>
              </a:graphicData>
            </a:graphic>
          </wp:inline>
        </w:drawing>
      </w:r>
      <w:bookmarkStart w:id="15" w:name="_Toc59221796"/>
    </w:p>
    <w:p w:rsidR="00516A54" w:rsidRPr="00AF33DD" w:rsidRDefault="00014DDD" w:rsidP="00CD03DB">
      <w:pPr>
        <w:pStyle w:val="08"/>
      </w:pPr>
      <w:bookmarkStart w:id="16" w:name="_Ref70659190"/>
      <w:r w:rsidRPr="00AF33DD">
        <w:rPr>
          <w:rFonts w:hint="eastAsia"/>
        </w:rPr>
        <w:t>圖</w:t>
      </w:r>
      <w:r w:rsidRPr="00AF33DD">
        <w:rPr>
          <w:rFonts w:hint="eastAsia"/>
        </w:rPr>
        <w:t xml:space="preserve"> </w:t>
      </w:r>
      <w:r w:rsidRPr="00AF33DD">
        <w:fldChar w:fldCharType="begin"/>
      </w:r>
      <w:r w:rsidRPr="00AF33DD">
        <w:instrText xml:space="preserve"> </w:instrText>
      </w:r>
      <w:r w:rsidRPr="00AF33DD">
        <w:rPr>
          <w:rFonts w:hint="eastAsia"/>
        </w:rPr>
        <w:instrText xml:space="preserve">SEQ </w:instrText>
      </w:r>
      <w:r w:rsidRPr="00AF33DD">
        <w:rPr>
          <w:rFonts w:hint="eastAsia"/>
        </w:rPr>
        <w:instrText>圖</w:instrText>
      </w:r>
      <w:r w:rsidRPr="00AF33DD">
        <w:rPr>
          <w:rFonts w:hint="eastAsia"/>
        </w:rPr>
        <w:instrText xml:space="preserve"> \* ARABIC</w:instrText>
      </w:r>
      <w:r w:rsidRPr="00AF33DD">
        <w:instrText xml:space="preserve"> </w:instrText>
      </w:r>
      <w:r w:rsidRPr="00AF33DD">
        <w:fldChar w:fldCharType="separate"/>
      </w:r>
      <w:r w:rsidR="00C22847" w:rsidRPr="00AF33DD">
        <w:t>4</w:t>
      </w:r>
      <w:r w:rsidRPr="00AF33DD">
        <w:fldChar w:fldCharType="end"/>
      </w:r>
      <w:bookmarkEnd w:id="16"/>
      <w:r w:rsidR="00516A54" w:rsidRPr="00AF33DD">
        <w:rPr>
          <w:rFonts w:hint="eastAsia"/>
        </w:rPr>
        <w:t>知覺價值對購買意願</w:t>
      </w:r>
      <w:bookmarkEnd w:id="15"/>
    </w:p>
    <w:p w:rsidR="00516A54" w:rsidRPr="00AF33DD" w:rsidRDefault="00516A54" w:rsidP="00AF33DD">
      <w:pPr>
        <w:pStyle w:val="111"/>
      </w:pPr>
      <w:r w:rsidRPr="00C06EA8">
        <w:lastRenderedPageBreak/>
        <w:t>假設二</w:t>
      </w:r>
      <w:r w:rsidRPr="00C06EA8">
        <w:t>:</w:t>
      </w:r>
      <w:r w:rsidRPr="00C06EA8">
        <w:rPr>
          <w:rFonts w:hint="eastAsia"/>
        </w:rPr>
        <w:t>購買運動鞋平均價格對運動鞋類之品牌聯想具顯著差異</w:t>
      </w:r>
    </w:p>
    <w:p w:rsidR="00516A54" w:rsidRPr="00C06EA8" w:rsidRDefault="00F73EDC" w:rsidP="00AF33DD">
      <w:pPr>
        <w:pStyle w:val="12Text"/>
        <w:rPr>
          <w:snapToGrid w:val="0"/>
        </w:rPr>
      </w:pPr>
      <w:r w:rsidRPr="00AF33DD">
        <w:rPr>
          <w:rFonts w:hint="eastAsia"/>
        </w:rPr>
        <w:t>由</w:t>
      </w:r>
      <w:r w:rsidRPr="00C06EA8">
        <w:rPr>
          <w:snapToGrid w:val="0"/>
          <w:lang w:eastAsia="zh-TW"/>
        </w:rPr>
        <w:fldChar w:fldCharType="begin"/>
      </w:r>
      <w:r w:rsidRPr="00C06EA8">
        <w:rPr>
          <w:snapToGrid w:val="0"/>
          <w:lang w:eastAsia="zh-TW"/>
        </w:rPr>
        <w:instrText xml:space="preserve"> </w:instrText>
      </w:r>
      <w:r w:rsidRPr="00C06EA8">
        <w:rPr>
          <w:rFonts w:hint="eastAsia"/>
          <w:snapToGrid w:val="0"/>
          <w:lang w:eastAsia="zh-TW"/>
        </w:rPr>
        <w:instrText>REF _Ref70659951 \h</w:instrText>
      </w:r>
      <w:r w:rsidRPr="00C06EA8">
        <w:rPr>
          <w:snapToGrid w:val="0"/>
          <w:lang w:eastAsia="zh-TW"/>
        </w:rPr>
        <w:instrText xml:space="preserve"> </w:instrText>
      </w:r>
      <w:r w:rsidR="00C06EA8" w:rsidRPr="00C06EA8">
        <w:rPr>
          <w:snapToGrid w:val="0"/>
          <w:lang w:eastAsia="zh-TW"/>
        </w:rPr>
        <w:instrText xml:space="preserve"> \* MERGEFORMAT </w:instrText>
      </w:r>
      <w:r w:rsidRPr="00C06EA8">
        <w:rPr>
          <w:snapToGrid w:val="0"/>
          <w:lang w:eastAsia="zh-TW"/>
        </w:rPr>
      </w:r>
      <w:r w:rsidRPr="00C06EA8">
        <w:rPr>
          <w:snapToGrid w:val="0"/>
          <w:lang w:eastAsia="zh-TW"/>
        </w:rPr>
        <w:fldChar w:fldCharType="separate"/>
      </w:r>
      <w:r w:rsidR="00C22847" w:rsidRPr="00C06EA8">
        <w:rPr>
          <w:rFonts w:hint="eastAsia"/>
        </w:rPr>
        <w:t>表</w:t>
      </w:r>
      <w:r w:rsidR="00C22847" w:rsidRPr="00C06EA8">
        <w:rPr>
          <w:rFonts w:hint="eastAsia"/>
        </w:rPr>
        <w:t xml:space="preserve"> </w:t>
      </w:r>
      <w:r w:rsidR="00C22847" w:rsidRPr="00C06EA8">
        <w:rPr>
          <w:noProof/>
        </w:rPr>
        <w:t>5</w:t>
      </w:r>
      <w:r w:rsidRPr="00C06EA8">
        <w:rPr>
          <w:snapToGrid w:val="0"/>
          <w:lang w:eastAsia="zh-TW"/>
        </w:rPr>
        <w:fldChar w:fldCharType="end"/>
      </w:r>
      <w:r w:rsidR="009E6BF1" w:rsidRPr="00AF33DD">
        <w:rPr>
          <w:rFonts w:hint="eastAsia"/>
        </w:rPr>
        <w:t>可以從單因子變異數分析得知</w:t>
      </w:r>
      <w:r w:rsidR="00516A54" w:rsidRPr="00AF33DD">
        <w:rPr>
          <w:rFonts w:hint="eastAsia"/>
        </w:rPr>
        <w:t>購買運動鞋平均價格對運動鞋類之品牌聯想具顯著差異，為了能更加深入的了解各變項之間的差異情形，所以使用</w:t>
      </w:r>
      <w:r w:rsidR="00516A54" w:rsidRPr="00C06EA8">
        <w:rPr>
          <w:snapToGrid w:val="0"/>
        </w:rPr>
        <w:t>LSD</w:t>
      </w:r>
      <w:r w:rsidR="00516A54" w:rsidRPr="00C06EA8">
        <w:rPr>
          <w:rFonts w:hint="eastAsia"/>
          <w:snapToGrid w:val="0"/>
        </w:rPr>
        <w:t>進行事後比較，由此可知，故本研究假設</w:t>
      </w:r>
      <w:r w:rsidR="00516A54" w:rsidRPr="00C06EA8">
        <w:rPr>
          <w:rFonts w:hint="eastAsia"/>
          <w:snapToGrid w:val="0"/>
        </w:rPr>
        <w:t>2</w:t>
      </w:r>
      <w:r w:rsidR="00516A54" w:rsidRPr="00C06EA8">
        <w:rPr>
          <w:rFonts w:hint="eastAsia"/>
          <w:snapToGrid w:val="0"/>
        </w:rPr>
        <w:t>成立。</w:t>
      </w:r>
    </w:p>
    <w:p w:rsidR="00516A54" w:rsidRPr="00C06EA8" w:rsidRDefault="009E6BF1" w:rsidP="00AF33DD">
      <w:pPr>
        <w:pStyle w:val="12Text"/>
        <w:rPr>
          <w:snapToGrid w:val="0"/>
        </w:rPr>
      </w:pPr>
      <w:r w:rsidRPr="00C06EA8">
        <w:rPr>
          <w:rFonts w:hint="eastAsia"/>
          <w:snapToGrid w:val="0"/>
          <w:lang w:eastAsia="zh-TW"/>
        </w:rPr>
        <w:t>事後</w:t>
      </w:r>
      <w:r w:rsidR="00516A54" w:rsidRPr="00C06EA8">
        <w:rPr>
          <w:rFonts w:hint="eastAsia"/>
          <w:snapToGrid w:val="0"/>
        </w:rPr>
        <w:t>分析結果，購買運動鞋平均價格對運動鞋類之品牌聯想具顯著差異，</w:t>
      </w:r>
      <w:r w:rsidR="00516A54" w:rsidRPr="00C06EA8">
        <w:rPr>
          <w:rFonts w:hint="eastAsia"/>
          <w:snapToGrid w:val="0"/>
        </w:rPr>
        <w:t>5,000NT$</w:t>
      </w:r>
      <w:r w:rsidR="00516A54" w:rsidRPr="00C06EA8">
        <w:rPr>
          <w:rFonts w:hint="eastAsia"/>
          <w:snapToGrid w:val="0"/>
        </w:rPr>
        <w:t>以上</w:t>
      </w:r>
      <w:r w:rsidR="00516A54" w:rsidRPr="00C06EA8">
        <w:rPr>
          <w:snapToGrid w:val="0"/>
        </w:rPr>
        <w:t>大於</w:t>
      </w:r>
      <w:r w:rsidR="00516A54" w:rsidRPr="00C06EA8">
        <w:rPr>
          <w:snapToGrid w:val="0"/>
        </w:rPr>
        <w:t>3,000NT~5,000NT$</w:t>
      </w:r>
      <w:r w:rsidR="00516A54" w:rsidRPr="00C06EA8">
        <w:rPr>
          <w:rFonts w:hint="eastAsia"/>
          <w:snapToGrid w:val="0"/>
        </w:rPr>
        <w:t>大於</w:t>
      </w:r>
      <w:r w:rsidR="00516A54" w:rsidRPr="00C06EA8">
        <w:rPr>
          <w:snapToGrid w:val="0"/>
        </w:rPr>
        <w:t>1,000~3,000NT$</w:t>
      </w:r>
      <w:r w:rsidR="00516A54" w:rsidRPr="00C06EA8">
        <w:rPr>
          <w:snapToGrid w:val="0"/>
        </w:rPr>
        <w:t>大於</w:t>
      </w:r>
      <w:r w:rsidR="00516A54" w:rsidRPr="00C06EA8">
        <w:rPr>
          <w:rFonts w:hint="eastAsia"/>
          <w:snapToGrid w:val="0"/>
        </w:rPr>
        <w:t>1,000NT$</w:t>
      </w:r>
      <w:r w:rsidR="00516A54" w:rsidRPr="00C06EA8">
        <w:rPr>
          <w:rFonts w:hint="eastAsia"/>
          <w:snapToGrid w:val="0"/>
        </w:rPr>
        <w:t>以下。由此，我們可以得知當購買運動鞋平均價格越高，對運動鞋類的品牌聯想就越高</w:t>
      </w:r>
      <w:r w:rsidR="00516A54" w:rsidRPr="00C06EA8">
        <w:rPr>
          <w:snapToGrid w:val="0"/>
        </w:rPr>
        <w:t>。其可能原因為</w:t>
      </w:r>
      <w:r w:rsidR="00516A54" w:rsidRPr="00C06EA8">
        <w:rPr>
          <w:rFonts w:hint="eastAsia"/>
          <w:snapToGrid w:val="0"/>
        </w:rPr>
        <w:t>，名人效應，消費者會依據喜愛明星或球星，進而去選擇運動鞋，但價錢也會相對昂貴，如</w:t>
      </w:r>
      <w:r w:rsidR="00516A54" w:rsidRPr="00C06EA8">
        <w:rPr>
          <w:snapToGrid w:val="0"/>
        </w:rPr>
        <w:t>Adidas</w:t>
      </w:r>
      <w:r w:rsidR="00516A54" w:rsidRPr="00AF33DD">
        <w:t xml:space="preserve"> </w:t>
      </w:r>
      <w:r w:rsidR="00516A54" w:rsidRPr="00AF33DD">
        <w:t>合作推出的</w:t>
      </w:r>
      <w:r w:rsidR="00516A54" w:rsidRPr="00C06EA8">
        <w:rPr>
          <w:snapToGrid w:val="0"/>
        </w:rPr>
        <w:t xml:space="preserve"> Yeezy</w:t>
      </w:r>
      <w:r w:rsidR="00516A54" w:rsidRPr="00AF33DD">
        <w:t xml:space="preserve"> </w:t>
      </w:r>
      <w:r w:rsidR="00516A54" w:rsidRPr="00AF33DD">
        <w:t>系列</w:t>
      </w:r>
      <w:r w:rsidR="00516A54" w:rsidRPr="00AF33DD">
        <w:rPr>
          <w:rFonts w:hint="eastAsia"/>
        </w:rPr>
        <w:t>以及</w:t>
      </w:r>
      <w:r w:rsidR="00516A54" w:rsidRPr="00C06EA8">
        <w:rPr>
          <w:snapToGrid w:val="0"/>
        </w:rPr>
        <w:t>Kobe</w:t>
      </w:r>
      <w:r w:rsidR="00516A54" w:rsidRPr="00AF33DD">
        <w:rPr>
          <w:rFonts w:hint="eastAsia"/>
        </w:rPr>
        <w:t>簽名鞋款。近年來運動鞋更不在只是因為純運動而穿，而是逐漸走向穿搭、品牌、名氣、流行和時尚的方向，如</w:t>
      </w:r>
      <w:r w:rsidR="00E06CB3" w:rsidRPr="00C06EA8">
        <w:rPr>
          <w:snapToGrid w:val="0"/>
        </w:rPr>
        <w:fldChar w:fldCharType="begin"/>
      </w:r>
      <w:r w:rsidR="00E06CB3" w:rsidRPr="00C06EA8">
        <w:rPr>
          <w:snapToGrid w:val="0"/>
        </w:rPr>
        <w:instrText xml:space="preserve"> </w:instrText>
      </w:r>
      <w:r w:rsidR="00E06CB3" w:rsidRPr="00C06EA8">
        <w:rPr>
          <w:rFonts w:hint="eastAsia"/>
          <w:snapToGrid w:val="0"/>
        </w:rPr>
        <w:instrText>REF _Ref70791854 \h</w:instrText>
      </w:r>
      <w:r w:rsidR="00E06CB3" w:rsidRPr="00C06EA8">
        <w:rPr>
          <w:snapToGrid w:val="0"/>
        </w:rPr>
        <w:instrText xml:space="preserve"> </w:instrText>
      </w:r>
      <w:r w:rsidR="00C06EA8" w:rsidRPr="00C06EA8">
        <w:rPr>
          <w:snapToGrid w:val="0"/>
        </w:rPr>
        <w:instrText xml:space="preserve"> \* MERGEFORMAT </w:instrText>
      </w:r>
      <w:r w:rsidR="00E06CB3" w:rsidRPr="00C06EA8">
        <w:rPr>
          <w:snapToGrid w:val="0"/>
        </w:rPr>
      </w:r>
      <w:r w:rsidR="00E06CB3" w:rsidRPr="00C06EA8">
        <w:rPr>
          <w:snapToGrid w:val="0"/>
        </w:rPr>
        <w:fldChar w:fldCharType="separate"/>
      </w:r>
      <w:r w:rsidR="00C22847" w:rsidRPr="00C06EA8">
        <w:rPr>
          <w:rFonts w:hint="eastAsia"/>
        </w:rPr>
        <w:t>圖</w:t>
      </w:r>
      <w:r w:rsidR="00C22847" w:rsidRPr="00C06EA8">
        <w:rPr>
          <w:rFonts w:hint="eastAsia"/>
        </w:rPr>
        <w:t xml:space="preserve"> </w:t>
      </w:r>
      <w:r w:rsidR="00C22847" w:rsidRPr="00C06EA8">
        <w:rPr>
          <w:noProof/>
        </w:rPr>
        <w:t>5</w:t>
      </w:r>
      <w:r w:rsidR="00E06CB3" w:rsidRPr="00C06EA8">
        <w:rPr>
          <w:snapToGrid w:val="0"/>
        </w:rPr>
        <w:fldChar w:fldCharType="end"/>
      </w:r>
      <w:r w:rsidR="00516A54" w:rsidRPr="00C06EA8">
        <w:rPr>
          <w:rFonts w:hint="eastAsia"/>
          <w:snapToGrid w:val="0"/>
        </w:rPr>
        <w:t>所示。</w:t>
      </w:r>
    </w:p>
    <w:p w:rsidR="00516A54" w:rsidRPr="00C06EA8" w:rsidRDefault="00086716" w:rsidP="00AF33DD">
      <w:pPr>
        <w:pStyle w:val="12Text"/>
        <w:rPr>
          <w:snapToGrid w:val="0"/>
        </w:rPr>
      </w:pPr>
      <w:r w:rsidRPr="00C06EA8">
        <w:rPr>
          <w:rFonts w:hint="eastAsia"/>
          <w:snapToGrid w:val="0"/>
          <w:lang w:eastAsia="zh-TW"/>
        </w:rPr>
        <w:t>所以說</w:t>
      </w:r>
      <w:r w:rsidR="00516A54" w:rsidRPr="00C06EA8">
        <w:rPr>
          <w:rFonts w:hint="eastAsia"/>
          <w:snapToGrid w:val="0"/>
        </w:rPr>
        <w:t>創造出更具突破性更新穎的設計，以及利用對發行數量的限制，創造出潮流話題，</w:t>
      </w:r>
      <w:r w:rsidRPr="00C06EA8">
        <w:rPr>
          <w:rFonts w:hint="eastAsia"/>
          <w:snapToGrid w:val="0"/>
          <w:lang w:eastAsia="zh-TW"/>
        </w:rPr>
        <w:t>可以</w:t>
      </w:r>
      <w:r w:rsidR="00516A54" w:rsidRPr="00C06EA8">
        <w:rPr>
          <w:rFonts w:hint="eastAsia"/>
          <w:snapToGrid w:val="0"/>
        </w:rPr>
        <w:t>引發消費者產生品牌聯想，但在價格方面也會因運動鞋商品的稀少性或獨特性而變高，相對的因為獨特性的關係，也會讓此種運動鞋很容易讓消費者產生品牌聯想，成為一種經典潮流。</w:t>
      </w:r>
    </w:p>
    <w:p w:rsidR="00E06CB3" w:rsidRPr="00AF33DD" w:rsidRDefault="00976502" w:rsidP="00AF33DD">
      <w:bookmarkStart w:id="17" w:name="_Ref70659261"/>
      <w:r w:rsidRPr="00AF33DD">
        <w:drawing>
          <wp:inline distT="0" distB="0" distL="0" distR="0" wp14:anchorId="45562CEC" wp14:editId="16062531">
            <wp:extent cx="2922270" cy="1755140"/>
            <wp:effectExtent l="0" t="0" r="0" b="0"/>
            <wp:docPr id="5" name="圖表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bookmarkStart w:id="18" w:name="_Toc59221797"/>
    </w:p>
    <w:p w:rsidR="00516A54" w:rsidRPr="00AF33DD" w:rsidRDefault="00014DDD" w:rsidP="00CD03DB">
      <w:pPr>
        <w:pStyle w:val="08"/>
      </w:pPr>
      <w:bookmarkStart w:id="19" w:name="_Ref70791854"/>
      <w:r w:rsidRPr="00AF33DD">
        <w:rPr>
          <w:rFonts w:hint="eastAsia"/>
        </w:rPr>
        <w:t>圖</w:t>
      </w:r>
      <w:r w:rsidRPr="00AF33DD">
        <w:rPr>
          <w:rFonts w:hint="eastAsia"/>
        </w:rPr>
        <w:t xml:space="preserve"> </w:t>
      </w:r>
      <w:r w:rsidRPr="00AF33DD">
        <w:fldChar w:fldCharType="begin"/>
      </w:r>
      <w:r w:rsidRPr="00AF33DD">
        <w:instrText xml:space="preserve"> </w:instrText>
      </w:r>
      <w:r w:rsidRPr="00AF33DD">
        <w:rPr>
          <w:rFonts w:hint="eastAsia"/>
        </w:rPr>
        <w:instrText xml:space="preserve">SEQ </w:instrText>
      </w:r>
      <w:r w:rsidRPr="00AF33DD">
        <w:rPr>
          <w:rFonts w:hint="eastAsia"/>
        </w:rPr>
        <w:instrText>圖</w:instrText>
      </w:r>
      <w:r w:rsidRPr="00AF33DD">
        <w:rPr>
          <w:rFonts w:hint="eastAsia"/>
        </w:rPr>
        <w:instrText xml:space="preserve"> \* ARABIC</w:instrText>
      </w:r>
      <w:r w:rsidRPr="00AF33DD">
        <w:instrText xml:space="preserve"> </w:instrText>
      </w:r>
      <w:r w:rsidRPr="00AF33DD">
        <w:fldChar w:fldCharType="separate"/>
      </w:r>
      <w:r w:rsidR="00C22847" w:rsidRPr="00AF33DD">
        <w:t>5</w:t>
      </w:r>
      <w:r w:rsidRPr="00AF33DD">
        <w:fldChar w:fldCharType="end"/>
      </w:r>
      <w:bookmarkEnd w:id="17"/>
      <w:bookmarkEnd w:id="19"/>
      <w:r w:rsidR="00516A54" w:rsidRPr="00AF33DD">
        <w:rPr>
          <w:rFonts w:hint="eastAsia"/>
        </w:rPr>
        <w:t>穿著運動鞋主要原因</w:t>
      </w:r>
      <w:bookmarkEnd w:id="18"/>
    </w:p>
    <w:p w:rsidR="00516A54" w:rsidRPr="00C06EA8" w:rsidRDefault="00516A54" w:rsidP="00AF33DD">
      <w:pPr>
        <w:pStyle w:val="111"/>
      </w:pPr>
      <w:r w:rsidRPr="00C06EA8">
        <w:t>假設三</w:t>
      </w:r>
      <w:r w:rsidRPr="00C06EA8">
        <w:t>:</w:t>
      </w:r>
      <w:r w:rsidRPr="00C06EA8">
        <w:rPr>
          <w:rFonts w:hint="eastAsia"/>
        </w:rPr>
        <w:t>性別對運動鞋類之運動防護具顯著差異</w:t>
      </w:r>
    </w:p>
    <w:p w:rsidR="00516A54" w:rsidRPr="00C06EA8" w:rsidRDefault="00F73EDC" w:rsidP="00AF33DD">
      <w:pPr>
        <w:pStyle w:val="12Text"/>
      </w:pPr>
      <w:r w:rsidRPr="00AF33DD">
        <w:rPr>
          <w:rFonts w:hint="eastAsia"/>
        </w:rPr>
        <w:t>由</w:t>
      </w:r>
      <w:r w:rsidRPr="00C06EA8">
        <w:rPr>
          <w:lang w:eastAsia="zh-TW"/>
        </w:rPr>
        <w:fldChar w:fldCharType="begin"/>
      </w:r>
      <w:r w:rsidRPr="00C06EA8">
        <w:rPr>
          <w:lang w:eastAsia="zh-TW"/>
        </w:rPr>
        <w:instrText xml:space="preserve"> </w:instrText>
      </w:r>
      <w:r w:rsidRPr="00C06EA8">
        <w:rPr>
          <w:rFonts w:hint="eastAsia"/>
          <w:lang w:eastAsia="zh-TW"/>
        </w:rPr>
        <w:instrText>REF _Ref70659958 \h</w:instrText>
      </w:r>
      <w:r w:rsidRPr="00C06EA8">
        <w:rPr>
          <w:lang w:eastAsia="zh-TW"/>
        </w:rPr>
        <w:instrText xml:space="preserve"> </w:instrText>
      </w:r>
      <w:r w:rsidR="00C06EA8" w:rsidRPr="00C06EA8">
        <w:rPr>
          <w:lang w:eastAsia="zh-TW"/>
        </w:rPr>
        <w:instrText xml:space="preserve"> \* MERGEFORMAT </w:instrText>
      </w:r>
      <w:r w:rsidRPr="00C06EA8">
        <w:rPr>
          <w:lang w:eastAsia="zh-TW"/>
        </w:rPr>
      </w:r>
      <w:r w:rsidRPr="00C06EA8">
        <w:rPr>
          <w:lang w:eastAsia="zh-TW"/>
        </w:rPr>
        <w:fldChar w:fldCharType="separate"/>
      </w:r>
      <w:r w:rsidR="00C22847" w:rsidRPr="00C06EA8">
        <w:rPr>
          <w:rFonts w:hint="eastAsia"/>
        </w:rPr>
        <w:t>表</w:t>
      </w:r>
      <w:r w:rsidR="00C22847" w:rsidRPr="00C06EA8">
        <w:rPr>
          <w:rFonts w:hint="eastAsia"/>
        </w:rPr>
        <w:t xml:space="preserve"> </w:t>
      </w:r>
      <w:r w:rsidR="00C22847" w:rsidRPr="00C06EA8">
        <w:rPr>
          <w:noProof/>
        </w:rPr>
        <w:t>3</w:t>
      </w:r>
      <w:r w:rsidRPr="00C06EA8">
        <w:rPr>
          <w:lang w:eastAsia="zh-TW"/>
        </w:rPr>
        <w:fldChar w:fldCharType="end"/>
      </w:r>
      <w:r w:rsidR="009E6BF1" w:rsidRPr="00C06EA8">
        <w:rPr>
          <w:rFonts w:hint="eastAsia"/>
          <w:lang w:eastAsia="zh-TW"/>
        </w:rPr>
        <w:t>可以從獨立樣本</w:t>
      </w:r>
      <w:r w:rsidR="009E6BF1" w:rsidRPr="00C06EA8">
        <w:rPr>
          <w:rFonts w:hint="eastAsia"/>
          <w:lang w:eastAsia="zh-TW"/>
        </w:rPr>
        <w:t>T</w:t>
      </w:r>
      <w:r w:rsidR="009E6BF1" w:rsidRPr="00C06EA8">
        <w:rPr>
          <w:rFonts w:hint="eastAsia"/>
          <w:lang w:eastAsia="zh-TW"/>
        </w:rPr>
        <w:t>檢定得知</w:t>
      </w:r>
      <w:r w:rsidR="00516A54" w:rsidRPr="00C06EA8">
        <w:rPr>
          <w:rFonts w:hint="eastAsia"/>
        </w:rPr>
        <w:t>不同的性別對運動鞋類之運動防護</w:t>
      </w:r>
      <w:r w:rsidR="00516A54" w:rsidRPr="00C06EA8">
        <w:t>具顯著差異，為了能</w:t>
      </w:r>
      <w:r w:rsidR="00516A54" w:rsidRPr="00C06EA8">
        <w:rPr>
          <w:rFonts w:hint="eastAsia"/>
        </w:rPr>
        <w:t>得知性別中的男女</w:t>
      </w:r>
      <w:r w:rsidR="00516A54" w:rsidRPr="00C06EA8">
        <w:t>差異情形，所以</w:t>
      </w:r>
      <w:r w:rsidR="00516A54" w:rsidRPr="00C06EA8">
        <w:rPr>
          <w:rFonts w:hint="eastAsia"/>
        </w:rPr>
        <w:t>觀察男女平均值的大小，性別對運動鞋類之運動防護的獨立樣本</w:t>
      </w:r>
      <w:r w:rsidR="00516A54" w:rsidRPr="00C06EA8">
        <w:rPr>
          <w:rFonts w:hint="eastAsia"/>
        </w:rPr>
        <w:t>T</w:t>
      </w:r>
      <w:r w:rsidR="00516A54" w:rsidRPr="00C06EA8">
        <w:rPr>
          <w:rFonts w:hint="eastAsia"/>
        </w:rPr>
        <w:t>檢定男平均值為</w:t>
      </w:r>
      <w:r w:rsidR="00516A54" w:rsidRPr="00C06EA8">
        <w:rPr>
          <w:rFonts w:hint="eastAsia"/>
        </w:rPr>
        <w:t>3.99</w:t>
      </w:r>
      <w:r w:rsidR="00516A54" w:rsidRPr="00C06EA8">
        <w:rPr>
          <w:rFonts w:hint="eastAsia"/>
        </w:rPr>
        <w:t>大於女平均值為</w:t>
      </w:r>
      <w:r w:rsidR="00516A54" w:rsidRPr="00C06EA8">
        <w:rPr>
          <w:rFonts w:hint="eastAsia"/>
        </w:rPr>
        <w:t>3.62</w:t>
      </w:r>
      <w:r w:rsidR="00516A54" w:rsidRPr="00C06EA8">
        <w:rPr>
          <w:rFonts w:hint="eastAsia"/>
        </w:rPr>
        <w:t>，可以發現運動防護獨立樣本</w:t>
      </w:r>
      <w:r w:rsidR="00516A54" w:rsidRPr="00C06EA8">
        <w:rPr>
          <w:rFonts w:hint="eastAsia"/>
        </w:rPr>
        <w:t>T</w:t>
      </w:r>
      <w:r w:rsidR="00516A54" w:rsidRPr="00C06EA8">
        <w:rPr>
          <w:rFonts w:hint="eastAsia"/>
        </w:rPr>
        <w:t>檢定是男大於女</w:t>
      </w:r>
      <w:r w:rsidR="00516A54" w:rsidRPr="00C06EA8">
        <w:t>。</w:t>
      </w:r>
    </w:p>
    <w:p w:rsidR="00014DDD" w:rsidRPr="00AF33DD" w:rsidRDefault="00516A54" w:rsidP="00AF33DD">
      <w:pPr>
        <w:pStyle w:val="12Text"/>
      </w:pPr>
      <w:r w:rsidRPr="00C06EA8">
        <w:rPr>
          <w:rFonts w:hint="eastAsia"/>
        </w:rPr>
        <w:t>由上述結果可以得知，不同性別對運動鞋類之運</w:t>
      </w:r>
      <w:r w:rsidRPr="00C06EA8">
        <w:rPr>
          <w:rFonts w:hint="eastAsia"/>
        </w:rPr>
        <w:t>動防護具顯著性的情況下，男生對運動鞋類之運動防護大於女生，其可能原因為，男生規律運動的人口高於女生規律運動人口，女性規律運動人口比例</w:t>
      </w:r>
      <w:r w:rsidRPr="00C06EA8">
        <w:rPr>
          <w:rFonts w:hint="eastAsia"/>
        </w:rPr>
        <w:t>30.4%</w:t>
      </w:r>
      <w:r w:rsidRPr="00C06EA8">
        <w:rPr>
          <w:rFonts w:hint="eastAsia"/>
        </w:rPr>
        <w:t>，男性規律運動人口比例</w:t>
      </w:r>
      <w:r w:rsidRPr="00C06EA8">
        <w:rPr>
          <w:rFonts w:hint="eastAsia"/>
        </w:rPr>
        <w:t>36.7%(</w:t>
      </w:r>
      <w:r w:rsidRPr="00C06EA8">
        <w:rPr>
          <w:rFonts w:hint="eastAsia"/>
        </w:rPr>
        <w:t>教育部體育署</w:t>
      </w:r>
      <w:r w:rsidRPr="00C06EA8">
        <w:rPr>
          <w:rFonts w:hint="eastAsia"/>
        </w:rPr>
        <w:t>,107)</w:t>
      </w:r>
      <w:r w:rsidRPr="00C06EA8">
        <w:t>[</w:t>
      </w:r>
      <w:r w:rsidR="007F0405" w:rsidRPr="00C06EA8">
        <w:fldChar w:fldCharType="begin"/>
      </w:r>
      <w:r w:rsidR="007F0405" w:rsidRPr="00C06EA8">
        <w:instrText xml:space="preserve"> REF _Ref59155462 \r \h </w:instrText>
      </w:r>
      <w:r w:rsidR="00C06EA8" w:rsidRPr="00C06EA8">
        <w:instrText xml:space="preserve"> \* MERGEFORMAT </w:instrText>
      </w:r>
      <w:r w:rsidR="007F0405" w:rsidRPr="00C06EA8">
        <w:fldChar w:fldCharType="separate"/>
      </w:r>
      <w:r w:rsidR="00C22847" w:rsidRPr="00C06EA8">
        <w:t>30</w:t>
      </w:r>
      <w:r w:rsidR="007F0405" w:rsidRPr="00C06EA8">
        <w:fldChar w:fldCharType="end"/>
      </w:r>
      <w:r w:rsidRPr="00AF33DD">
        <w:t>]</w:t>
      </w:r>
      <w:r w:rsidRPr="00AF33DD">
        <w:rPr>
          <w:rFonts w:hint="eastAsia"/>
        </w:rPr>
        <w:t>。規律運動的人，其發生運動傷害機率越高，以及男生運動激烈程度大於女生，所以發生運動傷害機率較大，進而會產生較高的運動防護。</w:t>
      </w:r>
      <w:r w:rsidR="000E012B" w:rsidRPr="00AF33DD">
        <w:rPr>
          <w:rFonts w:hint="eastAsia"/>
        </w:rPr>
        <w:t>為了預防運動傷害的發生，延長運動生涯，所以會更注重並</w:t>
      </w:r>
      <w:r w:rsidR="000E012B" w:rsidRPr="00AF33DD">
        <w:rPr>
          <w:rFonts w:hint="eastAsia"/>
        </w:rPr>
        <w:t xml:space="preserve"> </w:t>
      </w:r>
      <w:r w:rsidRPr="00AF33DD">
        <w:rPr>
          <w:rFonts w:hint="eastAsia"/>
        </w:rPr>
        <w:t>加以去了解，尋找適合本身之運動鞋類。黃麗卿、季瑋珠與鐘嫈嫈</w:t>
      </w:r>
      <w:r w:rsidRPr="00AF33DD">
        <w:rPr>
          <w:rFonts w:hint="eastAsia"/>
        </w:rPr>
        <w:t>(</w:t>
      </w:r>
      <w:r w:rsidRPr="00AF33DD">
        <w:t>1993)[</w:t>
      </w:r>
      <w:r w:rsidR="007F0405" w:rsidRPr="00C06EA8">
        <w:fldChar w:fldCharType="begin"/>
      </w:r>
      <w:r w:rsidR="007F0405" w:rsidRPr="00C06EA8">
        <w:instrText xml:space="preserve"> REF _Ref59155483 \r \h </w:instrText>
      </w:r>
      <w:r w:rsidR="00C06EA8" w:rsidRPr="00C06EA8">
        <w:instrText xml:space="preserve"> \* MERGEFORMAT </w:instrText>
      </w:r>
      <w:r w:rsidR="007F0405" w:rsidRPr="00C06EA8">
        <w:fldChar w:fldCharType="separate"/>
      </w:r>
      <w:r w:rsidR="00C22847" w:rsidRPr="00C06EA8">
        <w:t>31</w:t>
      </w:r>
      <w:r w:rsidR="007F0405" w:rsidRPr="00C06EA8">
        <w:fldChar w:fldCharType="end"/>
      </w:r>
      <w:r w:rsidRPr="00AF33DD">
        <w:t>]</w:t>
      </w:r>
      <w:r w:rsidR="00E60409" w:rsidRPr="00AF33DD">
        <w:rPr>
          <w:rFonts w:hint="eastAsia"/>
        </w:rPr>
        <w:t>調查某專學生運動情況與運動傷害研究發現</w:t>
      </w:r>
      <w:r w:rsidRPr="00AF33DD">
        <w:rPr>
          <w:rFonts w:hint="eastAsia"/>
        </w:rPr>
        <w:t>60.1%</w:t>
      </w:r>
      <w:r w:rsidRPr="00AF33DD">
        <w:rPr>
          <w:rFonts w:hint="eastAsia"/>
        </w:rPr>
        <w:t>的男生與</w:t>
      </w:r>
      <w:r w:rsidRPr="00AF33DD">
        <w:rPr>
          <w:rFonts w:hint="eastAsia"/>
        </w:rPr>
        <w:t>40.8%</w:t>
      </w:r>
      <w:r w:rsidRPr="00AF33DD">
        <w:rPr>
          <w:rFonts w:hint="eastAsia"/>
        </w:rPr>
        <w:t>的女生曾發生運動傷害，故本研究假設</w:t>
      </w:r>
      <w:r w:rsidRPr="00AF33DD">
        <w:rPr>
          <w:rFonts w:hint="eastAsia"/>
        </w:rPr>
        <w:t>3</w:t>
      </w:r>
      <w:r w:rsidRPr="00AF33DD">
        <w:rPr>
          <w:rFonts w:hint="eastAsia"/>
        </w:rPr>
        <w:t>成立。</w:t>
      </w:r>
    </w:p>
    <w:p w:rsidR="00E06CB3" w:rsidRPr="00C06EA8" w:rsidRDefault="00516A54" w:rsidP="00AF33DD">
      <w:pPr>
        <w:pStyle w:val="111"/>
        <w:rPr>
          <w:noProof/>
        </w:rPr>
      </w:pPr>
      <w:r w:rsidRPr="00C06EA8">
        <w:t>假設四</w:t>
      </w:r>
      <w:r w:rsidRPr="00C06EA8">
        <w:t>:</w:t>
      </w:r>
      <w:r w:rsidRPr="00C06EA8">
        <w:rPr>
          <w:rFonts w:hint="eastAsia"/>
        </w:rPr>
        <w:t>不同運動項目度對運動鞋類之品牌聯想具顯著差異</w:t>
      </w:r>
      <w:bookmarkStart w:id="20" w:name="_Ref70659447"/>
      <w:r w:rsidR="00976502" w:rsidRPr="00C06EA8">
        <w:rPr>
          <w:noProof/>
        </w:rPr>
        <w:drawing>
          <wp:inline distT="0" distB="0" distL="0" distR="0" wp14:anchorId="04CD78E9" wp14:editId="59A42749">
            <wp:extent cx="2926715" cy="1755140"/>
            <wp:effectExtent l="0" t="0" r="0" b="0"/>
            <wp:docPr id="6" name="圖表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bookmarkStart w:id="21" w:name="_Toc59221798"/>
    </w:p>
    <w:p w:rsidR="00405718" w:rsidRPr="00AF33DD" w:rsidRDefault="00014DDD" w:rsidP="00CD03DB">
      <w:pPr>
        <w:pStyle w:val="08"/>
      </w:pPr>
      <w:bookmarkStart w:id="22" w:name="_Ref70791918"/>
      <w:r w:rsidRPr="00AF33DD">
        <w:rPr>
          <w:rFonts w:hint="eastAsia"/>
        </w:rPr>
        <w:t>圖</w:t>
      </w:r>
      <w:r w:rsidRPr="00AF33DD">
        <w:rPr>
          <w:rFonts w:hint="eastAsia"/>
        </w:rPr>
        <w:t xml:space="preserve"> </w:t>
      </w:r>
      <w:r w:rsidRPr="00AF33DD">
        <w:fldChar w:fldCharType="begin"/>
      </w:r>
      <w:r w:rsidRPr="00AF33DD">
        <w:instrText xml:space="preserve"> </w:instrText>
      </w:r>
      <w:r w:rsidRPr="00AF33DD">
        <w:rPr>
          <w:rFonts w:hint="eastAsia"/>
        </w:rPr>
        <w:instrText xml:space="preserve">SEQ </w:instrText>
      </w:r>
      <w:r w:rsidRPr="00AF33DD">
        <w:rPr>
          <w:rFonts w:hint="eastAsia"/>
        </w:rPr>
        <w:instrText>圖</w:instrText>
      </w:r>
      <w:r w:rsidRPr="00AF33DD">
        <w:rPr>
          <w:rFonts w:hint="eastAsia"/>
        </w:rPr>
        <w:instrText xml:space="preserve"> \* ARABIC</w:instrText>
      </w:r>
      <w:r w:rsidRPr="00AF33DD">
        <w:instrText xml:space="preserve"> </w:instrText>
      </w:r>
      <w:r w:rsidRPr="00AF33DD">
        <w:fldChar w:fldCharType="separate"/>
      </w:r>
      <w:r w:rsidR="00C22847" w:rsidRPr="00AF33DD">
        <w:t>6</w:t>
      </w:r>
      <w:r w:rsidRPr="00AF33DD">
        <w:fldChar w:fldCharType="end"/>
      </w:r>
      <w:bookmarkEnd w:id="20"/>
      <w:bookmarkEnd w:id="22"/>
      <w:r w:rsidR="00405718" w:rsidRPr="00AF33DD">
        <w:t>能代表棒球運動鞋的運動品</w:t>
      </w:r>
      <w:bookmarkEnd w:id="21"/>
      <w:r w:rsidR="00405718" w:rsidRPr="00AF33DD">
        <w:rPr>
          <w:rFonts w:hint="eastAsia"/>
        </w:rPr>
        <w:t>牌</w:t>
      </w:r>
    </w:p>
    <w:p w:rsidR="009E6BF1" w:rsidRPr="00AF33DD" w:rsidRDefault="009E6BF1" w:rsidP="00AF33DD">
      <w:pPr>
        <w:pStyle w:val="12Text"/>
      </w:pPr>
      <w:r w:rsidRPr="00AF33DD">
        <w:rPr>
          <w:rFonts w:hint="eastAsia"/>
        </w:rPr>
        <w:t>如</w:t>
      </w:r>
      <w:r w:rsidR="00E06CB3" w:rsidRPr="00AF33DD">
        <w:fldChar w:fldCharType="begin"/>
      </w:r>
      <w:r w:rsidR="00E06CB3" w:rsidRPr="00AF33DD">
        <w:instrText xml:space="preserve"> </w:instrText>
      </w:r>
      <w:r w:rsidR="00E06CB3" w:rsidRPr="00AF33DD">
        <w:rPr>
          <w:rFonts w:hint="eastAsia"/>
        </w:rPr>
        <w:instrText>REF _Ref70791918 \h</w:instrText>
      </w:r>
      <w:r w:rsidR="00E06CB3" w:rsidRPr="00AF33DD">
        <w:instrText xml:space="preserve"> </w:instrText>
      </w:r>
      <w:r w:rsidR="00C06EA8" w:rsidRPr="00AF33DD">
        <w:instrText xml:space="preserve"> \* MERGEFORMAT </w:instrText>
      </w:r>
      <w:r w:rsidR="00E06CB3" w:rsidRPr="00AF33DD">
        <w:fldChar w:fldCharType="separate"/>
      </w:r>
      <w:r w:rsidR="00C22847" w:rsidRPr="00AF33DD">
        <w:rPr>
          <w:rFonts w:hint="eastAsia"/>
        </w:rPr>
        <w:t>圖</w:t>
      </w:r>
      <w:r w:rsidR="00C22847" w:rsidRPr="00AF33DD">
        <w:rPr>
          <w:rFonts w:hint="eastAsia"/>
        </w:rPr>
        <w:t xml:space="preserve"> </w:t>
      </w:r>
      <w:r w:rsidR="00C22847" w:rsidRPr="00AF33DD">
        <w:t>6</w:t>
      </w:r>
      <w:r w:rsidR="00E06CB3" w:rsidRPr="00AF33DD">
        <w:fldChar w:fldCharType="end"/>
      </w:r>
      <w:r w:rsidR="00B81F13" w:rsidRPr="00AF33DD">
        <w:rPr>
          <w:rFonts w:hint="eastAsia"/>
        </w:rPr>
        <w:t>所示，可以</w:t>
      </w:r>
      <w:r w:rsidRPr="00AF33DD">
        <w:rPr>
          <w:rFonts w:hint="eastAsia"/>
        </w:rPr>
        <w:t>發現</w:t>
      </w:r>
      <w:r w:rsidR="00B81F13" w:rsidRPr="00AF33DD">
        <w:t>Mizuno</w:t>
      </w:r>
      <w:r w:rsidR="00B81F13" w:rsidRPr="00AF33DD">
        <w:rPr>
          <w:rFonts w:hint="eastAsia"/>
        </w:rPr>
        <w:t>在棒球的運動鞋品牌代表性占第一，</w:t>
      </w:r>
      <w:r w:rsidR="00B81F13" w:rsidRPr="00AF33DD">
        <w:t>NIKE</w:t>
      </w:r>
      <w:r w:rsidR="00B81F13" w:rsidRPr="00AF33DD">
        <w:rPr>
          <w:rFonts w:hint="eastAsia"/>
        </w:rPr>
        <w:t>則排名第二</w:t>
      </w:r>
      <w:r w:rsidRPr="00AF33DD">
        <w:rPr>
          <w:rFonts w:hint="eastAsia"/>
        </w:rPr>
        <w:t>。</w:t>
      </w:r>
    </w:p>
    <w:p w:rsidR="00297197" w:rsidRPr="00AF33DD" w:rsidRDefault="00976502" w:rsidP="00AF33DD">
      <w:r w:rsidRPr="00AF33DD">
        <w:drawing>
          <wp:inline distT="0" distB="0" distL="0" distR="0" wp14:anchorId="0983EE8B" wp14:editId="256307DD">
            <wp:extent cx="2926715" cy="1755140"/>
            <wp:effectExtent l="0" t="0" r="0" b="0"/>
            <wp:docPr id="7" name="圖表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405718" w:rsidRPr="00AF33DD" w:rsidRDefault="00014DDD" w:rsidP="00CD03DB">
      <w:pPr>
        <w:pStyle w:val="08"/>
      </w:pPr>
      <w:bookmarkStart w:id="23" w:name="_Ref70659389"/>
      <w:bookmarkStart w:id="24" w:name="_Toc59221799"/>
      <w:r w:rsidRPr="00AF33DD">
        <w:rPr>
          <w:rFonts w:hint="eastAsia"/>
        </w:rPr>
        <w:t>圖</w:t>
      </w:r>
      <w:r w:rsidRPr="00AF33DD">
        <w:rPr>
          <w:rFonts w:hint="eastAsia"/>
        </w:rPr>
        <w:t xml:space="preserve"> </w:t>
      </w:r>
      <w:r w:rsidRPr="00AF33DD">
        <w:fldChar w:fldCharType="begin"/>
      </w:r>
      <w:r w:rsidRPr="00AF33DD">
        <w:instrText xml:space="preserve"> </w:instrText>
      </w:r>
      <w:r w:rsidRPr="00AF33DD">
        <w:rPr>
          <w:rFonts w:hint="eastAsia"/>
        </w:rPr>
        <w:instrText xml:space="preserve">SEQ </w:instrText>
      </w:r>
      <w:r w:rsidRPr="00AF33DD">
        <w:rPr>
          <w:rFonts w:hint="eastAsia"/>
        </w:rPr>
        <w:instrText>圖</w:instrText>
      </w:r>
      <w:r w:rsidRPr="00AF33DD">
        <w:rPr>
          <w:rFonts w:hint="eastAsia"/>
        </w:rPr>
        <w:instrText xml:space="preserve"> \* ARABIC</w:instrText>
      </w:r>
      <w:r w:rsidRPr="00AF33DD">
        <w:instrText xml:space="preserve"> </w:instrText>
      </w:r>
      <w:r w:rsidRPr="00AF33DD">
        <w:fldChar w:fldCharType="separate"/>
      </w:r>
      <w:r w:rsidR="00C22847" w:rsidRPr="00AF33DD">
        <w:t>7</w:t>
      </w:r>
      <w:r w:rsidRPr="00AF33DD">
        <w:fldChar w:fldCharType="end"/>
      </w:r>
      <w:bookmarkEnd w:id="23"/>
      <w:r w:rsidR="00405718" w:rsidRPr="00AF33DD">
        <w:t>能代表籃球運動鞋的運動品牌</w:t>
      </w:r>
      <w:bookmarkEnd w:id="24"/>
    </w:p>
    <w:p w:rsidR="00405718" w:rsidRPr="00AF33DD" w:rsidRDefault="00405718" w:rsidP="00405718">
      <w:pPr>
        <w:pStyle w:val="12Text"/>
      </w:pPr>
      <w:r w:rsidRPr="00AF33DD">
        <w:rPr>
          <w:rFonts w:hint="eastAsia"/>
        </w:rPr>
        <w:t>如</w:t>
      </w:r>
      <w:r w:rsidR="00014DDD" w:rsidRPr="00C06EA8">
        <w:rPr>
          <w:rFonts w:ascii="新細明體" w:hAnsi="新細明體"/>
          <w:szCs w:val="20"/>
        </w:rPr>
        <w:fldChar w:fldCharType="begin"/>
      </w:r>
      <w:r w:rsidR="00014DDD" w:rsidRPr="00C06EA8">
        <w:rPr>
          <w:rFonts w:ascii="新細明體" w:hAnsi="新細明體"/>
          <w:szCs w:val="20"/>
        </w:rPr>
        <w:instrText xml:space="preserve"> </w:instrText>
      </w:r>
      <w:r w:rsidR="00014DDD" w:rsidRPr="00C06EA8">
        <w:rPr>
          <w:rFonts w:ascii="新細明體" w:hAnsi="新細明體" w:hint="eastAsia"/>
          <w:szCs w:val="20"/>
        </w:rPr>
        <w:instrText>REF _Ref70659389 \h</w:instrText>
      </w:r>
      <w:r w:rsidR="00014DDD" w:rsidRPr="00C06EA8">
        <w:rPr>
          <w:rFonts w:ascii="新細明體" w:hAnsi="新細明體"/>
          <w:szCs w:val="20"/>
        </w:rPr>
        <w:instrText xml:space="preserve"> </w:instrText>
      </w:r>
      <w:r w:rsidR="00C06EA8" w:rsidRPr="00C06EA8">
        <w:rPr>
          <w:rFonts w:ascii="新細明體" w:hAnsi="新細明體"/>
          <w:szCs w:val="20"/>
        </w:rPr>
        <w:instrText xml:space="preserve"> \* MERGEFORMAT </w:instrText>
      </w:r>
      <w:r w:rsidR="00014DDD" w:rsidRPr="00C06EA8">
        <w:rPr>
          <w:rFonts w:ascii="新細明體" w:hAnsi="新細明體"/>
          <w:szCs w:val="20"/>
        </w:rPr>
      </w:r>
      <w:r w:rsidR="00014DDD" w:rsidRPr="00C06EA8">
        <w:rPr>
          <w:rFonts w:ascii="新細明體" w:hAnsi="新細明體"/>
          <w:szCs w:val="20"/>
        </w:rPr>
        <w:fldChar w:fldCharType="separate"/>
      </w:r>
      <w:r w:rsidR="00C22847" w:rsidRPr="00C06EA8">
        <w:rPr>
          <w:rFonts w:ascii="新細明體" w:hAnsi="新細明體" w:hint="eastAsia"/>
          <w:szCs w:val="20"/>
        </w:rPr>
        <w:t xml:space="preserve">圖 </w:t>
      </w:r>
      <w:r w:rsidR="00C22847" w:rsidRPr="00C06EA8">
        <w:rPr>
          <w:rFonts w:ascii="新細明體" w:hAnsi="新細明體"/>
          <w:noProof/>
          <w:szCs w:val="20"/>
        </w:rPr>
        <w:t>7</w:t>
      </w:r>
      <w:r w:rsidR="00014DDD" w:rsidRPr="00C06EA8">
        <w:rPr>
          <w:rFonts w:ascii="新細明體" w:hAnsi="新細明體"/>
          <w:szCs w:val="20"/>
        </w:rPr>
        <w:fldChar w:fldCharType="end"/>
      </w:r>
      <w:r w:rsidRPr="00AF33DD">
        <w:rPr>
          <w:rFonts w:hint="eastAsia"/>
        </w:rPr>
        <w:t>所示，明顯發現</w:t>
      </w:r>
      <w:r w:rsidRPr="00C06EA8">
        <w:rPr>
          <w:szCs w:val="20"/>
        </w:rPr>
        <w:t>Nike</w:t>
      </w:r>
      <w:r w:rsidRPr="00AF33DD">
        <w:rPr>
          <w:rFonts w:hint="eastAsia"/>
        </w:rPr>
        <w:t>在籃球的運動鞋品牌代表性占據超過了一半，而在棒球運動鞋代表性第一的</w:t>
      </w:r>
      <w:r w:rsidRPr="00C06EA8">
        <w:rPr>
          <w:szCs w:val="20"/>
        </w:rPr>
        <w:t>Mizuno</w:t>
      </w:r>
      <w:r w:rsidRPr="00AF33DD">
        <w:rPr>
          <w:rFonts w:hint="eastAsia"/>
        </w:rPr>
        <w:t>直接掉到了最後。</w:t>
      </w:r>
    </w:p>
    <w:p w:rsidR="00E06CB3" w:rsidRPr="00AF33DD" w:rsidRDefault="00976502" w:rsidP="00AF33DD">
      <w:bookmarkStart w:id="25" w:name="_Ref70659469"/>
      <w:r w:rsidRPr="00AF33DD">
        <w:lastRenderedPageBreak/>
        <w:drawing>
          <wp:inline distT="0" distB="0" distL="0" distR="0" wp14:anchorId="63317A0E" wp14:editId="7C2463F1">
            <wp:extent cx="2922270" cy="1755140"/>
            <wp:effectExtent l="0" t="0" r="0" b="0"/>
            <wp:docPr id="8" name="圖表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bookmarkStart w:id="26" w:name="_Toc59221800"/>
    </w:p>
    <w:p w:rsidR="00405718" w:rsidRPr="00AF33DD" w:rsidRDefault="00014DDD" w:rsidP="00CD03DB">
      <w:pPr>
        <w:pStyle w:val="08"/>
      </w:pPr>
      <w:bookmarkStart w:id="27" w:name="_Ref70792033"/>
      <w:r w:rsidRPr="00AF33DD">
        <w:rPr>
          <w:rFonts w:hint="eastAsia"/>
        </w:rPr>
        <w:t>圖</w:t>
      </w:r>
      <w:r w:rsidRPr="00AF33DD">
        <w:rPr>
          <w:rFonts w:hint="eastAsia"/>
        </w:rPr>
        <w:t xml:space="preserve"> </w:t>
      </w:r>
      <w:r w:rsidRPr="00AF33DD">
        <w:fldChar w:fldCharType="begin"/>
      </w:r>
      <w:r w:rsidRPr="00AF33DD">
        <w:instrText xml:space="preserve"> </w:instrText>
      </w:r>
      <w:r w:rsidRPr="00AF33DD">
        <w:rPr>
          <w:rFonts w:hint="eastAsia"/>
        </w:rPr>
        <w:instrText xml:space="preserve">SEQ </w:instrText>
      </w:r>
      <w:r w:rsidRPr="00AF33DD">
        <w:rPr>
          <w:rFonts w:hint="eastAsia"/>
        </w:rPr>
        <w:instrText>圖</w:instrText>
      </w:r>
      <w:r w:rsidRPr="00AF33DD">
        <w:rPr>
          <w:rFonts w:hint="eastAsia"/>
        </w:rPr>
        <w:instrText xml:space="preserve"> \* ARABIC</w:instrText>
      </w:r>
      <w:r w:rsidRPr="00AF33DD">
        <w:instrText xml:space="preserve"> </w:instrText>
      </w:r>
      <w:r w:rsidRPr="00AF33DD">
        <w:fldChar w:fldCharType="separate"/>
      </w:r>
      <w:r w:rsidR="00C22847" w:rsidRPr="00AF33DD">
        <w:t>8</w:t>
      </w:r>
      <w:r w:rsidRPr="00AF33DD">
        <w:fldChar w:fldCharType="end"/>
      </w:r>
      <w:bookmarkEnd w:id="25"/>
      <w:bookmarkEnd w:id="27"/>
      <w:r w:rsidR="00405718" w:rsidRPr="00AF33DD">
        <w:t>能代表慢跑運動鞋的運動品牌</w:t>
      </w:r>
      <w:bookmarkEnd w:id="26"/>
    </w:p>
    <w:p w:rsidR="00405718" w:rsidRPr="00AF33DD" w:rsidRDefault="00405718" w:rsidP="00405718">
      <w:pPr>
        <w:pStyle w:val="12Text"/>
      </w:pPr>
      <w:r w:rsidRPr="00AF33DD">
        <w:rPr>
          <w:rFonts w:hint="eastAsia"/>
        </w:rPr>
        <w:t>如</w:t>
      </w:r>
      <w:r w:rsidR="00E06CB3" w:rsidRPr="00C06EA8">
        <w:rPr>
          <w:rFonts w:ascii="新細明體" w:hAnsi="新細明體"/>
          <w:szCs w:val="20"/>
        </w:rPr>
        <w:fldChar w:fldCharType="begin"/>
      </w:r>
      <w:r w:rsidR="00E06CB3" w:rsidRPr="00C06EA8">
        <w:rPr>
          <w:rFonts w:ascii="新細明體" w:hAnsi="新細明體"/>
          <w:szCs w:val="20"/>
        </w:rPr>
        <w:instrText xml:space="preserve"> </w:instrText>
      </w:r>
      <w:r w:rsidR="00E06CB3" w:rsidRPr="00C06EA8">
        <w:rPr>
          <w:rFonts w:ascii="新細明體" w:hAnsi="新細明體" w:hint="eastAsia"/>
          <w:szCs w:val="20"/>
        </w:rPr>
        <w:instrText>REF _Ref70792033 \h</w:instrText>
      </w:r>
      <w:r w:rsidR="00E06CB3" w:rsidRPr="00C06EA8">
        <w:rPr>
          <w:rFonts w:ascii="新細明體" w:hAnsi="新細明體"/>
          <w:szCs w:val="20"/>
        </w:rPr>
        <w:instrText xml:space="preserve"> </w:instrText>
      </w:r>
      <w:r w:rsidR="00C06EA8" w:rsidRPr="00C06EA8">
        <w:rPr>
          <w:rFonts w:ascii="新細明體" w:hAnsi="新細明體"/>
          <w:szCs w:val="20"/>
        </w:rPr>
        <w:instrText xml:space="preserve"> \* MERGEFORMAT </w:instrText>
      </w:r>
      <w:r w:rsidR="00E06CB3" w:rsidRPr="00C06EA8">
        <w:rPr>
          <w:rFonts w:ascii="新細明體" w:hAnsi="新細明體"/>
          <w:szCs w:val="20"/>
        </w:rPr>
      </w:r>
      <w:r w:rsidR="00E06CB3" w:rsidRPr="00C06EA8">
        <w:rPr>
          <w:rFonts w:ascii="新細明體" w:hAnsi="新細明體"/>
          <w:szCs w:val="20"/>
        </w:rPr>
        <w:fldChar w:fldCharType="separate"/>
      </w:r>
      <w:r w:rsidR="00C22847" w:rsidRPr="00C06EA8">
        <w:rPr>
          <w:rFonts w:ascii="新細明體" w:hAnsi="新細明體" w:hint="eastAsia"/>
          <w:szCs w:val="20"/>
        </w:rPr>
        <w:t xml:space="preserve">圖 </w:t>
      </w:r>
      <w:r w:rsidR="00C22847" w:rsidRPr="00C06EA8">
        <w:rPr>
          <w:rFonts w:ascii="新細明體" w:hAnsi="新細明體"/>
          <w:noProof/>
          <w:szCs w:val="20"/>
        </w:rPr>
        <w:t>8</w:t>
      </w:r>
      <w:r w:rsidR="00E06CB3" w:rsidRPr="00C06EA8">
        <w:rPr>
          <w:rFonts w:ascii="新細明體" w:hAnsi="新細明體"/>
          <w:szCs w:val="20"/>
        </w:rPr>
        <w:fldChar w:fldCharType="end"/>
      </w:r>
      <w:r w:rsidRPr="00AF33DD">
        <w:rPr>
          <w:rFonts w:hint="eastAsia"/>
        </w:rPr>
        <w:t>所示，可以發現</w:t>
      </w:r>
      <w:r w:rsidRPr="00C06EA8">
        <w:rPr>
          <w:szCs w:val="20"/>
        </w:rPr>
        <w:t>Nike</w:t>
      </w:r>
      <w:r w:rsidRPr="00AF33DD">
        <w:rPr>
          <w:rFonts w:hint="eastAsia"/>
        </w:rPr>
        <w:t>和</w:t>
      </w:r>
      <w:r w:rsidRPr="00C06EA8">
        <w:rPr>
          <w:szCs w:val="20"/>
        </w:rPr>
        <w:t>Adidas</w:t>
      </w:r>
      <w:r w:rsidRPr="00AF33DD">
        <w:rPr>
          <w:rFonts w:hint="eastAsia"/>
        </w:rPr>
        <w:t>兩個品牌在慢跑的運動鞋品牌代表性加起來占據超過市場的一半。</w:t>
      </w:r>
    </w:p>
    <w:p w:rsidR="00E06CB3" w:rsidRPr="00AF33DD" w:rsidRDefault="00976502" w:rsidP="00AF33DD">
      <w:bookmarkStart w:id="28" w:name="_Ref70659491"/>
      <w:r w:rsidRPr="00AF33DD">
        <w:drawing>
          <wp:inline distT="0" distB="0" distL="0" distR="0" wp14:anchorId="1B1B143B" wp14:editId="78E3E2B0">
            <wp:extent cx="2926715" cy="1755140"/>
            <wp:effectExtent l="0" t="0" r="0" b="0"/>
            <wp:docPr id="9" name="圖表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bookmarkStart w:id="29" w:name="_Toc59221801"/>
    </w:p>
    <w:p w:rsidR="009417BA" w:rsidRPr="00AF33DD" w:rsidRDefault="00014DDD" w:rsidP="00CD03DB">
      <w:pPr>
        <w:pStyle w:val="08"/>
      </w:pPr>
      <w:bookmarkStart w:id="30" w:name="_Ref70792062"/>
      <w:r w:rsidRPr="00AF33DD">
        <w:rPr>
          <w:rFonts w:hint="eastAsia"/>
        </w:rPr>
        <w:t>圖</w:t>
      </w:r>
      <w:r w:rsidRPr="00AF33DD">
        <w:rPr>
          <w:rFonts w:hint="eastAsia"/>
        </w:rPr>
        <w:t xml:space="preserve"> </w:t>
      </w:r>
      <w:r w:rsidRPr="00AF33DD">
        <w:fldChar w:fldCharType="begin"/>
      </w:r>
      <w:r w:rsidRPr="00AF33DD">
        <w:instrText xml:space="preserve"> </w:instrText>
      </w:r>
      <w:r w:rsidRPr="00AF33DD">
        <w:rPr>
          <w:rFonts w:hint="eastAsia"/>
        </w:rPr>
        <w:instrText xml:space="preserve">SEQ </w:instrText>
      </w:r>
      <w:r w:rsidRPr="00AF33DD">
        <w:rPr>
          <w:rFonts w:hint="eastAsia"/>
        </w:rPr>
        <w:instrText>圖</w:instrText>
      </w:r>
      <w:r w:rsidRPr="00AF33DD">
        <w:rPr>
          <w:rFonts w:hint="eastAsia"/>
        </w:rPr>
        <w:instrText xml:space="preserve"> \* ARABIC</w:instrText>
      </w:r>
      <w:r w:rsidRPr="00AF33DD">
        <w:instrText xml:space="preserve"> </w:instrText>
      </w:r>
      <w:r w:rsidRPr="00AF33DD">
        <w:fldChar w:fldCharType="separate"/>
      </w:r>
      <w:r w:rsidR="00C22847" w:rsidRPr="00AF33DD">
        <w:t>9</w:t>
      </w:r>
      <w:r w:rsidRPr="00AF33DD">
        <w:fldChar w:fldCharType="end"/>
      </w:r>
      <w:bookmarkEnd w:id="28"/>
      <w:bookmarkEnd w:id="30"/>
      <w:r w:rsidR="009417BA" w:rsidRPr="00AF33DD">
        <w:t>能代表羽球運動鞋的運動品牌</w:t>
      </w:r>
      <w:bookmarkEnd w:id="29"/>
    </w:p>
    <w:p w:rsidR="00405718" w:rsidRPr="00AF33DD" w:rsidRDefault="009417BA" w:rsidP="009417BA">
      <w:pPr>
        <w:pStyle w:val="12Text"/>
      </w:pPr>
      <w:r w:rsidRPr="00AF33DD">
        <w:rPr>
          <w:rFonts w:hint="eastAsia"/>
        </w:rPr>
        <w:t>如</w:t>
      </w:r>
      <w:r w:rsidR="00E06CB3" w:rsidRPr="00C06EA8">
        <w:rPr>
          <w:rFonts w:ascii="新細明體" w:hAnsi="新細明體"/>
          <w:szCs w:val="20"/>
        </w:rPr>
        <w:fldChar w:fldCharType="begin"/>
      </w:r>
      <w:r w:rsidR="00E06CB3" w:rsidRPr="00C06EA8">
        <w:rPr>
          <w:rFonts w:ascii="新細明體" w:hAnsi="新細明體"/>
          <w:szCs w:val="20"/>
        </w:rPr>
        <w:instrText xml:space="preserve"> </w:instrText>
      </w:r>
      <w:r w:rsidR="00E06CB3" w:rsidRPr="00C06EA8">
        <w:rPr>
          <w:rFonts w:ascii="新細明體" w:hAnsi="新細明體" w:hint="eastAsia"/>
          <w:szCs w:val="20"/>
        </w:rPr>
        <w:instrText>REF _Ref70792062 \h</w:instrText>
      </w:r>
      <w:r w:rsidR="00E06CB3" w:rsidRPr="00C06EA8">
        <w:rPr>
          <w:rFonts w:ascii="新細明體" w:hAnsi="新細明體"/>
          <w:szCs w:val="20"/>
        </w:rPr>
        <w:instrText xml:space="preserve"> </w:instrText>
      </w:r>
      <w:r w:rsidR="00C06EA8" w:rsidRPr="00C06EA8">
        <w:rPr>
          <w:rFonts w:ascii="新細明體" w:hAnsi="新細明體"/>
          <w:szCs w:val="20"/>
        </w:rPr>
        <w:instrText xml:space="preserve"> \* MERGEFORMAT </w:instrText>
      </w:r>
      <w:r w:rsidR="00E06CB3" w:rsidRPr="00C06EA8">
        <w:rPr>
          <w:rFonts w:ascii="新細明體" w:hAnsi="新細明體"/>
          <w:szCs w:val="20"/>
        </w:rPr>
      </w:r>
      <w:r w:rsidR="00E06CB3" w:rsidRPr="00C06EA8">
        <w:rPr>
          <w:rFonts w:ascii="新細明體" w:hAnsi="新細明體"/>
          <w:szCs w:val="20"/>
        </w:rPr>
        <w:fldChar w:fldCharType="separate"/>
      </w:r>
      <w:r w:rsidR="00C22847" w:rsidRPr="00C06EA8">
        <w:rPr>
          <w:rFonts w:ascii="新細明體" w:hAnsi="新細明體" w:hint="eastAsia"/>
          <w:szCs w:val="20"/>
        </w:rPr>
        <w:t xml:space="preserve">圖 </w:t>
      </w:r>
      <w:r w:rsidR="00C22847" w:rsidRPr="00C06EA8">
        <w:rPr>
          <w:rFonts w:ascii="新細明體" w:hAnsi="新細明體"/>
          <w:noProof/>
          <w:szCs w:val="20"/>
        </w:rPr>
        <w:t>9</w:t>
      </w:r>
      <w:r w:rsidR="00E06CB3" w:rsidRPr="00C06EA8">
        <w:rPr>
          <w:rFonts w:ascii="新細明體" w:hAnsi="新細明體"/>
          <w:szCs w:val="20"/>
        </w:rPr>
        <w:fldChar w:fldCharType="end"/>
      </w:r>
      <w:r w:rsidRPr="00AF33DD">
        <w:rPr>
          <w:rFonts w:hint="eastAsia"/>
        </w:rPr>
        <w:t>所示，可以發現</w:t>
      </w:r>
      <w:r w:rsidRPr="00C06EA8">
        <w:rPr>
          <w:szCs w:val="20"/>
        </w:rPr>
        <w:t>Nike</w:t>
      </w:r>
      <w:r w:rsidRPr="00C06EA8">
        <w:rPr>
          <w:szCs w:val="20"/>
        </w:rPr>
        <w:t>、</w:t>
      </w:r>
      <w:r w:rsidRPr="00C06EA8">
        <w:rPr>
          <w:szCs w:val="20"/>
        </w:rPr>
        <w:t>ASICS</w:t>
      </w:r>
      <w:r w:rsidRPr="00AF33DD">
        <w:rPr>
          <w:rFonts w:hint="eastAsia"/>
        </w:rPr>
        <w:t>和</w:t>
      </w:r>
      <w:r w:rsidRPr="00C06EA8">
        <w:rPr>
          <w:szCs w:val="20"/>
        </w:rPr>
        <w:t>Mizuno</w:t>
      </w:r>
      <w:r w:rsidRPr="00AF33DD">
        <w:rPr>
          <w:rFonts w:hint="eastAsia"/>
        </w:rPr>
        <w:t>在羽球的運動鞋品牌代表性占第一，且占有率都一樣，更是可以觀察到</w:t>
      </w:r>
      <w:r w:rsidRPr="00C06EA8">
        <w:rPr>
          <w:szCs w:val="20"/>
        </w:rPr>
        <w:t>ASICS</w:t>
      </w:r>
      <w:r w:rsidRPr="00AF33DD">
        <w:rPr>
          <w:rFonts w:hint="eastAsia"/>
        </w:rPr>
        <w:t>在前幾個運動項目裡的運動鞋品牌代表性排序都在後段，而在羽球的運動鞋代表性卻占據第一。</w:t>
      </w:r>
    </w:p>
    <w:p w:rsidR="00E06CB3" w:rsidRPr="00AF33DD" w:rsidRDefault="00976502" w:rsidP="00AF33DD">
      <w:bookmarkStart w:id="31" w:name="_Ref70659536"/>
      <w:r w:rsidRPr="00AF33DD">
        <w:drawing>
          <wp:inline distT="0" distB="0" distL="0" distR="0" wp14:anchorId="597C702C" wp14:editId="15E83A1A">
            <wp:extent cx="2922270" cy="1755140"/>
            <wp:effectExtent l="0" t="0" r="0" b="0"/>
            <wp:docPr id="10" name="圖表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bookmarkStart w:id="32" w:name="_Toc59221802"/>
    </w:p>
    <w:p w:rsidR="009417BA" w:rsidRPr="00AF33DD" w:rsidRDefault="00014DDD" w:rsidP="00CD03DB">
      <w:pPr>
        <w:pStyle w:val="08"/>
      </w:pPr>
      <w:bookmarkStart w:id="33" w:name="_Ref70792090"/>
      <w:r w:rsidRPr="00AF33DD">
        <w:rPr>
          <w:rFonts w:hint="eastAsia"/>
        </w:rPr>
        <w:t>圖</w:t>
      </w:r>
      <w:r w:rsidRPr="00AF33DD">
        <w:rPr>
          <w:rFonts w:hint="eastAsia"/>
        </w:rPr>
        <w:t xml:space="preserve"> </w:t>
      </w:r>
      <w:r w:rsidRPr="00AF33DD">
        <w:fldChar w:fldCharType="begin"/>
      </w:r>
      <w:r w:rsidRPr="00AF33DD">
        <w:instrText xml:space="preserve"> </w:instrText>
      </w:r>
      <w:r w:rsidRPr="00AF33DD">
        <w:rPr>
          <w:rFonts w:hint="eastAsia"/>
        </w:rPr>
        <w:instrText xml:space="preserve">SEQ </w:instrText>
      </w:r>
      <w:r w:rsidRPr="00AF33DD">
        <w:rPr>
          <w:rFonts w:hint="eastAsia"/>
        </w:rPr>
        <w:instrText>圖</w:instrText>
      </w:r>
      <w:r w:rsidRPr="00AF33DD">
        <w:rPr>
          <w:rFonts w:hint="eastAsia"/>
        </w:rPr>
        <w:instrText xml:space="preserve"> \* ARABIC</w:instrText>
      </w:r>
      <w:r w:rsidRPr="00AF33DD">
        <w:instrText xml:space="preserve"> </w:instrText>
      </w:r>
      <w:r w:rsidRPr="00AF33DD">
        <w:fldChar w:fldCharType="separate"/>
      </w:r>
      <w:r w:rsidR="00C22847" w:rsidRPr="00AF33DD">
        <w:t>10</w:t>
      </w:r>
      <w:r w:rsidRPr="00AF33DD">
        <w:fldChar w:fldCharType="end"/>
      </w:r>
      <w:bookmarkEnd w:id="31"/>
      <w:bookmarkEnd w:id="33"/>
      <w:r w:rsidR="009417BA" w:rsidRPr="00AF33DD">
        <w:t>能代表排球運動鞋的運動品牌</w:t>
      </w:r>
      <w:bookmarkEnd w:id="32"/>
    </w:p>
    <w:p w:rsidR="009417BA" w:rsidRPr="00AF33DD" w:rsidRDefault="009417BA" w:rsidP="009417BA">
      <w:pPr>
        <w:pStyle w:val="12Text"/>
      </w:pPr>
      <w:r w:rsidRPr="00AF33DD">
        <w:rPr>
          <w:rFonts w:hint="eastAsia"/>
        </w:rPr>
        <w:t>如</w:t>
      </w:r>
      <w:r w:rsidR="00E06CB3" w:rsidRPr="00C06EA8">
        <w:rPr>
          <w:rFonts w:ascii="新細明體" w:hAnsi="新細明體"/>
          <w:szCs w:val="20"/>
        </w:rPr>
        <w:fldChar w:fldCharType="begin"/>
      </w:r>
      <w:r w:rsidR="00E06CB3" w:rsidRPr="00C06EA8">
        <w:rPr>
          <w:rFonts w:ascii="新細明體" w:hAnsi="新細明體"/>
          <w:szCs w:val="20"/>
        </w:rPr>
        <w:instrText xml:space="preserve"> </w:instrText>
      </w:r>
      <w:r w:rsidR="00E06CB3" w:rsidRPr="00C06EA8">
        <w:rPr>
          <w:rFonts w:ascii="新細明體" w:hAnsi="新細明體" w:hint="eastAsia"/>
          <w:szCs w:val="20"/>
        </w:rPr>
        <w:instrText>REF _Ref70792090 \h</w:instrText>
      </w:r>
      <w:r w:rsidR="00E06CB3" w:rsidRPr="00C06EA8">
        <w:rPr>
          <w:rFonts w:ascii="新細明體" w:hAnsi="新細明體"/>
          <w:szCs w:val="20"/>
        </w:rPr>
        <w:instrText xml:space="preserve"> </w:instrText>
      </w:r>
      <w:r w:rsidR="00C06EA8" w:rsidRPr="00C06EA8">
        <w:rPr>
          <w:rFonts w:ascii="新細明體" w:hAnsi="新細明體"/>
          <w:szCs w:val="20"/>
        </w:rPr>
        <w:instrText xml:space="preserve"> \* MERGEFORMAT </w:instrText>
      </w:r>
      <w:r w:rsidR="00E06CB3" w:rsidRPr="00C06EA8">
        <w:rPr>
          <w:rFonts w:ascii="新細明體" w:hAnsi="新細明體"/>
          <w:szCs w:val="20"/>
        </w:rPr>
      </w:r>
      <w:r w:rsidR="00E06CB3" w:rsidRPr="00C06EA8">
        <w:rPr>
          <w:rFonts w:ascii="新細明體" w:hAnsi="新細明體"/>
          <w:szCs w:val="20"/>
        </w:rPr>
        <w:fldChar w:fldCharType="separate"/>
      </w:r>
      <w:r w:rsidR="00C22847" w:rsidRPr="00C06EA8">
        <w:rPr>
          <w:rFonts w:ascii="新細明體" w:hAnsi="新細明體" w:hint="eastAsia"/>
          <w:szCs w:val="20"/>
        </w:rPr>
        <w:t xml:space="preserve">圖 </w:t>
      </w:r>
      <w:r w:rsidR="00C22847" w:rsidRPr="00C06EA8">
        <w:rPr>
          <w:rFonts w:ascii="新細明體" w:hAnsi="新細明體"/>
          <w:noProof/>
          <w:szCs w:val="20"/>
        </w:rPr>
        <w:t>10</w:t>
      </w:r>
      <w:r w:rsidR="00E06CB3" w:rsidRPr="00C06EA8">
        <w:rPr>
          <w:rFonts w:ascii="新細明體" w:hAnsi="新細明體"/>
          <w:szCs w:val="20"/>
        </w:rPr>
        <w:fldChar w:fldCharType="end"/>
      </w:r>
      <w:r w:rsidRPr="00AF33DD">
        <w:rPr>
          <w:rFonts w:hint="eastAsia"/>
        </w:rPr>
        <w:t>所示，可以發現</w:t>
      </w:r>
      <w:r w:rsidRPr="00C06EA8">
        <w:rPr>
          <w:szCs w:val="20"/>
        </w:rPr>
        <w:t>Nike</w:t>
      </w:r>
      <w:r w:rsidRPr="00AF33DD">
        <w:rPr>
          <w:rFonts w:hint="eastAsia"/>
        </w:rPr>
        <w:t>和</w:t>
      </w:r>
      <w:r w:rsidRPr="00C06EA8">
        <w:rPr>
          <w:szCs w:val="20"/>
        </w:rPr>
        <w:t>Adidas</w:t>
      </w:r>
      <w:r w:rsidRPr="00AF33DD">
        <w:rPr>
          <w:rFonts w:hint="eastAsia"/>
        </w:rPr>
        <w:t>在前面運動項目的運動鞋品牌代表性都占據前三，在排球卻落在了第三及第四。</w:t>
      </w:r>
    </w:p>
    <w:p w:rsidR="00E06CB3" w:rsidRPr="00AF33DD" w:rsidRDefault="00976502" w:rsidP="00AF33DD">
      <w:bookmarkStart w:id="34" w:name="_Ref70659600"/>
      <w:r w:rsidRPr="00AF33DD">
        <w:drawing>
          <wp:inline distT="0" distB="0" distL="0" distR="0" wp14:anchorId="0909C36D" wp14:editId="569AE71E">
            <wp:extent cx="2926715" cy="1755140"/>
            <wp:effectExtent l="0" t="0" r="0" b="0"/>
            <wp:docPr id="11" name="圖表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bookmarkStart w:id="35" w:name="_Toc59221803"/>
    </w:p>
    <w:p w:rsidR="009417BA" w:rsidRPr="00AF33DD" w:rsidRDefault="00014DDD" w:rsidP="00CD03DB">
      <w:pPr>
        <w:pStyle w:val="08"/>
      </w:pPr>
      <w:bookmarkStart w:id="36" w:name="_Ref70792192"/>
      <w:r w:rsidRPr="00AF33DD">
        <w:rPr>
          <w:rFonts w:hint="eastAsia"/>
        </w:rPr>
        <w:t>圖</w:t>
      </w:r>
      <w:r w:rsidRPr="00AF33DD">
        <w:rPr>
          <w:rFonts w:hint="eastAsia"/>
        </w:rPr>
        <w:t xml:space="preserve"> </w:t>
      </w:r>
      <w:r w:rsidRPr="00AF33DD">
        <w:fldChar w:fldCharType="begin"/>
      </w:r>
      <w:r w:rsidRPr="00AF33DD">
        <w:instrText xml:space="preserve"> </w:instrText>
      </w:r>
      <w:r w:rsidRPr="00AF33DD">
        <w:rPr>
          <w:rFonts w:hint="eastAsia"/>
        </w:rPr>
        <w:instrText xml:space="preserve">SEQ </w:instrText>
      </w:r>
      <w:r w:rsidRPr="00AF33DD">
        <w:rPr>
          <w:rFonts w:hint="eastAsia"/>
        </w:rPr>
        <w:instrText>圖</w:instrText>
      </w:r>
      <w:r w:rsidRPr="00AF33DD">
        <w:rPr>
          <w:rFonts w:hint="eastAsia"/>
        </w:rPr>
        <w:instrText xml:space="preserve"> \* ARABIC</w:instrText>
      </w:r>
      <w:r w:rsidRPr="00AF33DD">
        <w:instrText xml:space="preserve"> </w:instrText>
      </w:r>
      <w:r w:rsidRPr="00AF33DD">
        <w:fldChar w:fldCharType="separate"/>
      </w:r>
      <w:r w:rsidR="00C22847" w:rsidRPr="00AF33DD">
        <w:t>11</w:t>
      </w:r>
      <w:r w:rsidRPr="00AF33DD">
        <w:fldChar w:fldCharType="end"/>
      </w:r>
      <w:bookmarkEnd w:id="34"/>
      <w:bookmarkEnd w:id="36"/>
      <w:r w:rsidR="009417BA" w:rsidRPr="00AF33DD">
        <w:t>能代表足球運動鞋的運動品牌</w:t>
      </w:r>
      <w:bookmarkEnd w:id="35"/>
    </w:p>
    <w:p w:rsidR="00B81F13" w:rsidRPr="00C06EA8" w:rsidRDefault="009417BA" w:rsidP="00AF33DD">
      <w:pPr>
        <w:pStyle w:val="12Text"/>
      </w:pPr>
      <w:r w:rsidRPr="00AF33DD">
        <w:rPr>
          <w:rFonts w:hint="eastAsia"/>
        </w:rPr>
        <w:t>如</w:t>
      </w:r>
      <w:r w:rsidR="00E06CB3" w:rsidRPr="00C06EA8">
        <w:fldChar w:fldCharType="begin"/>
      </w:r>
      <w:r w:rsidR="00E06CB3" w:rsidRPr="00C06EA8">
        <w:instrText xml:space="preserve"> </w:instrText>
      </w:r>
      <w:r w:rsidR="00E06CB3" w:rsidRPr="00C06EA8">
        <w:rPr>
          <w:rFonts w:hint="eastAsia"/>
        </w:rPr>
        <w:instrText>REF _Ref70792192 \h</w:instrText>
      </w:r>
      <w:r w:rsidR="00E06CB3" w:rsidRPr="00C06EA8">
        <w:instrText xml:space="preserve"> </w:instrText>
      </w:r>
      <w:r w:rsidR="00C06EA8" w:rsidRPr="00C06EA8">
        <w:instrText xml:space="preserve"> \* MERGEFORMAT </w:instrText>
      </w:r>
      <w:r w:rsidR="00E06CB3" w:rsidRPr="00C06EA8">
        <w:fldChar w:fldCharType="separate"/>
      </w:r>
      <w:r w:rsidR="00C22847" w:rsidRPr="00C06EA8">
        <w:rPr>
          <w:rFonts w:hint="eastAsia"/>
        </w:rPr>
        <w:t>圖</w:t>
      </w:r>
      <w:r w:rsidR="00C22847" w:rsidRPr="00C06EA8">
        <w:rPr>
          <w:rFonts w:hint="eastAsia"/>
        </w:rPr>
        <w:t xml:space="preserve"> </w:t>
      </w:r>
      <w:r w:rsidR="00C22847" w:rsidRPr="00C06EA8">
        <w:rPr>
          <w:noProof/>
        </w:rPr>
        <w:t>11</w:t>
      </w:r>
      <w:r w:rsidR="00E06CB3" w:rsidRPr="00C06EA8">
        <w:fldChar w:fldCharType="end"/>
      </w:r>
      <w:r w:rsidRPr="00AF33DD">
        <w:rPr>
          <w:rFonts w:hint="eastAsia"/>
        </w:rPr>
        <w:t>所示，可發現</w:t>
      </w:r>
      <w:r w:rsidRPr="00C06EA8">
        <w:t>Adidas</w:t>
      </w:r>
      <w:r w:rsidRPr="00C06EA8">
        <w:rPr>
          <w:rFonts w:hint="eastAsia"/>
        </w:rPr>
        <w:t>在足球的運動鞋品牌代表性為第一，是第一次占據第一位。</w:t>
      </w:r>
    </w:p>
    <w:p w:rsidR="009417BA" w:rsidRPr="00AF33DD" w:rsidRDefault="009417BA" w:rsidP="00AF33DD">
      <w:pPr>
        <w:pStyle w:val="12Text"/>
      </w:pPr>
      <w:r w:rsidRPr="00C06EA8">
        <w:rPr>
          <w:rFonts w:hint="eastAsia"/>
        </w:rPr>
        <w:t>經由上述分析結果發現，運動項目的運動鞋品牌代表性，會隨著運動項目的不同而改變排序，由此對應到學者</w:t>
      </w:r>
      <w:r w:rsidRPr="00C06EA8">
        <w:rPr>
          <w:rFonts w:hint="eastAsia"/>
        </w:rPr>
        <w:t>Keller</w:t>
      </w:r>
      <w:r w:rsidRPr="00C06EA8">
        <w:rPr>
          <w:rFonts w:hint="eastAsia"/>
        </w:rPr>
        <w:t>的模型中所提出品牌聯想的型態</w:t>
      </w:r>
      <w:r w:rsidRPr="00C06EA8">
        <w:rPr>
          <w:rFonts w:hint="eastAsia"/>
        </w:rPr>
        <w:t>(</w:t>
      </w:r>
      <w:r w:rsidRPr="00C06EA8">
        <w:t>Type of Associations</w:t>
      </w:r>
      <w:r w:rsidRPr="00AF33DD">
        <w:rPr>
          <w:rFonts w:hint="eastAsia"/>
        </w:rPr>
        <w:t>)</w:t>
      </w:r>
      <w:r w:rsidRPr="00AF33DD">
        <w:rPr>
          <w:rFonts w:hint="eastAsia"/>
        </w:rPr>
        <w:t>，消費者會透過運動的項目對品牌做連結，故本研究假設</w:t>
      </w:r>
      <w:r w:rsidRPr="00AF33DD">
        <w:t>4</w:t>
      </w:r>
      <w:r w:rsidRPr="00AF33DD">
        <w:rPr>
          <w:rFonts w:hint="eastAsia"/>
        </w:rPr>
        <w:t>成立。</w:t>
      </w:r>
    </w:p>
    <w:p w:rsidR="009417BA" w:rsidRPr="00C06EA8" w:rsidRDefault="009417BA" w:rsidP="00AF33DD">
      <w:pPr>
        <w:pStyle w:val="111"/>
      </w:pPr>
      <w:r w:rsidRPr="00C06EA8">
        <w:t>假設五</w:t>
      </w:r>
      <w:r w:rsidRPr="00C06EA8">
        <w:t>:</w:t>
      </w:r>
      <w:r w:rsidRPr="00C06EA8">
        <w:rPr>
          <w:rFonts w:hint="eastAsia"/>
        </w:rPr>
        <w:t>運動防護對運動鞋類之購買意願具顯著差異</w:t>
      </w:r>
    </w:p>
    <w:p w:rsidR="00B81F13" w:rsidRPr="00C06EA8" w:rsidRDefault="00014DDD" w:rsidP="00AF33DD">
      <w:pPr>
        <w:pStyle w:val="12Text"/>
      </w:pPr>
      <w:r w:rsidRPr="00AF33DD">
        <w:rPr>
          <w:rFonts w:hint="eastAsia"/>
        </w:rPr>
        <w:t>由</w:t>
      </w:r>
      <w:r w:rsidR="00E06CB3" w:rsidRPr="00C06EA8">
        <w:fldChar w:fldCharType="begin"/>
      </w:r>
      <w:r w:rsidR="00E06CB3" w:rsidRPr="00C06EA8">
        <w:instrText xml:space="preserve"> </w:instrText>
      </w:r>
      <w:r w:rsidR="00E06CB3" w:rsidRPr="00C06EA8">
        <w:rPr>
          <w:rFonts w:hint="eastAsia"/>
        </w:rPr>
        <w:instrText>REF _Ref70792228 \h</w:instrText>
      </w:r>
      <w:r w:rsidR="00E06CB3" w:rsidRPr="00C06EA8">
        <w:instrText xml:space="preserve"> </w:instrText>
      </w:r>
      <w:r w:rsidR="00C06EA8" w:rsidRPr="00C06EA8">
        <w:instrText xml:space="preserve"> \* MERGEFORMAT </w:instrText>
      </w:r>
      <w:r w:rsidR="00E06CB3" w:rsidRPr="00C06EA8">
        <w:fldChar w:fldCharType="separate"/>
      </w:r>
      <w:r w:rsidR="00C22847" w:rsidRPr="00C06EA8">
        <w:rPr>
          <w:rFonts w:hint="eastAsia"/>
        </w:rPr>
        <w:t>圖</w:t>
      </w:r>
      <w:r w:rsidR="00C22847" w:rsidRPr="00C06EA8">
        <w:rPr>
          <w:rFonts w:hint="eastAsia"/>
        </w:rPr>
        <w:t xml:space="preserve"> </w:t>
      </w:r>
      <w:r w:rsidR="00C22847" w:rsidRPr="00C06EA8">
        <w:rPr>
          <w:noProof/>
        </w:rPr>
        <w:t>12</w:t>
      </w:r>
      <w:r w:rsidR="00E06CB3" w:rsidRPr="00C06EA8">
        <w:fldChar w:fldCharType="end"/>
      </w:r>
      <w:r w:rsidR="00C8054F" w:rsidRPr="00AF33DD">
        <w:rPr>
          <w:rFonts w:hint="eastAsia"/>
        </w:rPr>
        <w:t>和</w:t>
      </w:r>
      <w:r w:rsidR="00C8054F" w:rsidRPr="00C06EA8">
        <w:fldChar w:fldCharType="begin"/>
      </w:r>
      <w:r w:rsidR="00C8054F" w:rsidRPr="00C06EA8">
        <w:instrText xml:space="preserve"> REF _Ref70867469 \h </w:instrText>
      </w:r>
      <w:r w:rsidR="00C06EA8" w:rsidRPr="00C06EA8">
        <w:instrText xml:space="preserve"> \* MERGEFORMAT </w:instrText>
      </w:r>
      <w:r w:rsidR="00C8054F" w:rsidRPr="00C06EA8">
        <w:fldChar w:fldCharType="separate"/>
      </w:r>
      <w:r w:rsidR="00C22847" w:rsidRPr="00C06EA8">
        <w:rPr>
          <w:rFonts w:hint="eastAsia"/>
        </w:rPr>
        <w:t>表</w:t>
      </w:r>
      <w:r w:rsidR="00C22847" w:rsidRPr="00C06EA8">
        <w:rPr>
          <w:rFonts w:hint="eastAsia"/>
        </w:rPr>
        <w:t xml:space="preserve"> </w:t>
      </w:r>
      <w:r w:rsidR="00C22847" w:rsidRPr="00C06EA8">
        <w:rPr>
          <w:noProof/>
        </w:rPr>
        <w:t>7</w:t>
      </w:r>
      <w:r w:rsidR="00C8054F" w:rsidRPr="00C06EA8">
        <w:fldChar w:fldCharType="end"/>
      </w:r>
      <w:r w:rsidR="00B81F13" w:rsidRPr="00C06EA8">
        <w:rPr>
          <w:rFonts w:hint="eastAsia"/>
        </w:rPr>
        <w:t>中可以從皮爾森相關分析之定義得知運動鞋類的運動防護對購買意願</w:t>
      </w:r>
      <w:r w:rsidR="00B81F13" w:rsidRPr="00C06EA8">
        <w:rPr>
          <w:rFonts w:hint="eastAsia"/>
        </w:rPr>
        <w:t>1:</w:t>
      </w:r>
      <w:r w:rsidR="00B81F13" w:rsidRPr="00C06EA8">
        <w:rPr>
          <w:rFonts w:hint="eastAsia"/>
        </w:rPr>
        <w:t>款式多樣化和購買意願</w:t>
      </w:r>
      <w:r w:rsidR="00B81F13" w:rsidRPr="00C06EA8">
        <w:rPr>
          <w:rFonts w:hint="eastAsia"/>
        </w:rPr>
        <w:t>3:</w:t>
      </w:r>
      <w:r w:rsidR="00B81F13" w:rsidRPr="00C06EA8">
        <w:rPr>
          <w:rFonts w:hint="eastAsia"/>
        </w:rPr>
        <w:t>與他人推薦為低度相關，而運動防護對購買意願</w:t>
      </w:r>
      <w:r w:rsidR="00B81F13" w:rsidRPr="00C06EA8">
        <w:rPr>
          <w:rFonts w:hint="eastAsia"/>
        </w:rPr>
        <w:t>2:</w:t>
      </w:r>
      <w:r w:rsidR="00B81F13" w:rsidRPr="00C06EA8">
        <w:rPr>
          <w:rFonts w:hint="eastAsia"/>
        </w:rPr>
        <w:t>未來購買更多產品則為中度相關。</w:t>
      </w:r>
    </w:p>
    <w:p w:rsidR="009417BA" w:rsidRPr="00C06EA8" w:rsidRDefault="009417BA" w:rsidP="00AF33DD">
      <w:pPr>
        <w:pStyle w:val="12Text"/>
      </w:pPr>
      <w:r w:rsidRPr="00C06EA8">
        <w:rPr>
          <w:rFonts w:hint="eastAsia"/>
        </w:rPr>
        <w:t>經分析結果後，可以發現運動防護對購買意願</w:t>
      </w:r>
      <w:r w:rsidRPr="00C06EA8">
        <w:rPr>
          <w:rFonts w:hint="eastAsia"/>
        </w:rPr>
        <w:t>1:</w:t>
      </w:r>
      <w:r w:rsidRPr="00C06EA8">
        <w:rPr>
          <w:rFonts w:hint="eastAsia"/>
        </w:rPr>
        <w:t>款式多樣化和購買意願</w:t>
      </w:r>
      <w:r w:rsidRPr="00C06EA8">
        <w:rPr>
          <w:rFonts w:hint="eastAsia"/>
        </w:rPr>
        <w:t>3:</w:t>
      </w:r>
      <w:r w:rsidRPr="00C06EA8">
        <w:rPr>
          <w:rFonts w:hint="eastAsia"/>
        </w:rPr>
        <w:t>與他人推薦，兩個變數關聯性都為低度相關。其可能原因為，運動防護對消費者來說注重的是保護性，是否能有效預防運動傷害的發生，才是消費者評估的重點，所以購買意願</w:t>
      </w:r>
      <w:r w:rsidRPr="00C06EA8">
        <w:rPr>
          <w:rFonts w:hint="eastAsia"/>
        </w:rPr>
        <w:t>1:</w:t>
      </w:r>
      <w:r w:rsidRPr="00C06EA8">
        <w:rPr>
          <w:rFonts w:hint="eastAsia"/>
        </w:rPr>
        <w:t>款式多樣化基本上完全不在消費者考慮的購買意願範圍內，則購買意願</w:t>
      </w:r>
      <w:r w:rsidRPr="00C06EA8">
        <w:rPr>
          <w:rFonts w:hint="eastAsia"/>
        </w:rPr>
        <w:t>3:</w:t>
      </w:r>
      <w:r w:rsidRPr="00C06EA8">
        <w:rPr>
          <w:rFonts w:hint="eastAsia"/>
        </w:rPr>
        <w:t>與他人推薦，每個人對運動鞋所需的保護性並不會相同，會因項目的不同，防護目的不同，而產生出不一樣的選擇，所以運動防護對購買意願</w:t>
      </w:r>
      <w:r w:rsidRPr="00C06EA8">
        <w:rPr>
          <w:rFonts w:hint="eastAsia"/>
        </w:rPr>
        <w:t>3:</w:t>
      </w:r>
      <w:r w:rsidRPr="00C06EA8">
        <w:rPr>
          <w:rFonts w:hint="eastAsia"/>
        </w:rPr>
        <w:t>與他人推薦不具影響。</w:t>
      </w:r>
    </w:p>
    <w:p w:rsidR="00297197" w:rsidRPr="00C06EA8" w:rsidRDefault="009417BA" w:rsidP="00AF33DD">
      <w:pPr>
        <w:pStyle w:val="12Text"/>
      </w:pPr>
      <w:r w:rsidRPr="00C06EA8">
        <w:rPr>
          <w:rFonts w:hint="eastAsia"/>
        </w:rPr>
        <w:t>運動防護對購買意願</w:t>
      </w:r>
      <w:r w:rsidRPr="00C06EA8">
        <w:rPr>
          <w:rFonts w:hint="eastAsia"/>
        </w:rPr>
        <w:t>2:</w:t>
      </w:r>
      <w:r w:rsidRPr="00C06EA8">
        <w:rPr>
          <w:rFonts w:hint="eastAsia"/>
        </w:rPr>
        <w:t>未來購買更多產品為普通正相關，其可能原因為，消費者依個人的運動防護需求選擇運動鞋類，而體驗過產品和服務過後，發現此運動品牌運動鞋的運動防護，符合個人本身之需求，未來便會加以考慮及購買更多產品，故本研究假設</w:t>
      </w:r>
      <w:r w:rsidRPr="00C06EA8">
        <w:rPr>
          <w:rFonts w:hint="eastAsia"/>
        </w:rPr>
        <w:t>5</w:t>
      </w:r>
      <w:r w:rsidRPr="00C06EA8">
        <w:rPr>
          <w:rFonts w:hint="eastAsia"/>
        </w:rPr>
        <w:t>成立。</w:t>
      </w:r>
    </w:p>
    <w:p w:rsidR="00E06CB3" w:rsidRPr="00AF33DD" w:rsidRDefault="00976502" w:rsidP="00AF33DD">
      <w:bookmarkStart w:id="37" w:name="_Ref70659693"/>
      <w:r w:rsidRPr="00AF33DD">
        <w:rPr>
          <w:rFonts w:hint="eastAsia"/>
        </w:rPr>
        <w:lastRenderedPageBreak/>
        <w:drawing>
          <wp:inline distT="0" distB="0" distL="0" distR="0" wp14:anchorId="0FA13E6C" wp14:editId="37E46484">
            <wp:extent cx="2922270" cy="1980565"/>
            <wp:effectExtent l="0" t="0" r="0" b="0"/>
            <wp:docPr id="12" name="圖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922270" cy="1980565"/>
                    </a:xfrm>
                    <a:prstGeom prst="rect">
                      <a:avLst/>
                    </a:prstGeom>
                    <a:noFill/>
                    <a:ln>
                      <a:noFill/>
                    </a:ln>
                  </pic:spPr>
                </pic:pic>
              </a:graphicData>
            </a:graphic>
          </wp:inline>
        </w:drawing>
      </w:r>
      <w:bookmarkStart w:id="38" w:name="_Toc59221804"/>
    </w:p>
    <w:p w:rsidR="00DD0A86" w:rsidRPr="00AF33DD" w:rsidRDefault="00014DDD" w:rsidP="00CD03DB">
      <w:pPr>
        <w:pStyle w:val="08"/>
      </w:pPr>
      <w:bookmarkStart w:id="39" w:name="_Ref70792228"/>
      <w:r w:rsidRPr="00AF33DD">
        <w:rPr>
          <w:rFonts w:hint="eastAsia"/>
        </w:rPr>
        <w:t>圖</w:t>
      </w:r>
      <w:r w:rsidRPr="00AF33DD">
        <w:rPr>
          <w:rFonts w:hint="eastAsia"/>
        </w:rPr>
        <w:t xml:space="preserve"> </w:t>
      </w:r>
      <w:r w:rsidRPr="00AF33DD">
        <w:fldChar w:fldCharType="begin"/>
      </w:r>
      <w:r w:rsidRPr="00AF33DD">
        <w:instrText xml:space="preserve"> </w:instrText>
      </w:r>
      <w:r w:rsidRPr="00AF33DD">
        <w:rPr>
          <w:rFonts w:hint="eastAsia"/>
        </w:rPr>
        <w:instrText xml:space="preserve">SEQ </w:instrText>
      </w:r>
      <w:r w:rsidRPr="00AF33DD">
        <w:rPr>
          <w:rFonts w:hint="eastAsia"/>
        </w:rPr>
        <w:instrText>圖</w:instrText>
      </w:r>
      <w:r w:rsidRPr="00AF33DD">
        <w:rPr>
          <w:rFonts w:hint="eastAsia"/>
        </w:rPr>
        <w:instrText xml:space="preserve"> \* ARABIC</w:instrText>
      </w:r>
      <w:r w:rsidRPr="00AF33DD">
        <w:instrText xml:space="preserve"> </w:instrText>
      </w:r>
      <w:r w:rsidRPr="00AF33DD">
        <w:fldChar w:fldCharType="separate"/>
      </w:r>
      <w:r w:rsidR="00C22847" w:rsidRPr="00AF33DD">
        <w:t>12</w:t>
      </w:r>
      <w:r w:rsidRPr="00AF33DD">
        <w:fldChar w:fldCharType="end"/>
      </w:r>
      <w:bookmarkEnd w:id="37"/>
      <w:bookmarkEnd w:id="39"/>
      <w:r w:rsidR="00DD0A86" w:rsidRPr="00AF33DD">
        <w:rPr>
          <w:rFonts w:hint="eastAsia"/>
        </w:rPr>
        <w:t>運動防護對購買意願</w:t>
      </w:r>
      <w:bookmarkEnd w:id="38"/>
    </w:p>
    <w:p w:rsidR="00DD0A86" w:rsidRPr="00C06EA8" w:rsidRDefault="00DD0A86" w:rsidP="00AF33DD">
      <w:pPr>
        <w:pStyle w:val="111"/>
      </w:pPr>
      <w:r w:rsidRPr="00C06EA8">
        <w:t>假設</w:t>
      </w:r>
      <w:r w:rsidRPr="00C06EA8">
        <w:rPr>
          <w:rFonts w:hint="eastAsia"/>
        </w:rPr>
        <w:t>六</w:t>
      </w:r>
      <w:r w:rsidRPr="00C06EA8">
        <w:t>:</w:t>
      </w:r>
      <w:r w:rsidRPr="00C06EA8">
        <w:rPr>
          <w:rFonts w:hint="eastAsia"/>
        </w:rPr>
        <w:t>:</w:t>
      </w:r>
      <w:r w:rsidRPr="00C06EA8">
        <w:rPr>
          <w:rFonts w:hint="eastAsia"/>
        </w:rPr>
        <w:t>是否關注運動品牌鞋類資訊對運動鞋類之購買意願具顯著影響</w:t>
      </w:r>
    </w:p>
    <w:p w:rsidR="00DD0A86" w:rsidRPr="00C06EA8" w:rsidRDefault="00F73EDC" w:rsidP="00AF33DD">
      <w:pPr>
        <w:pStyle w:val="12Text"/>
      </w:pPr>
      <w:r w:rsidRPr="00AF33DD">
        <w:rPr>
          <w:rFonts w:hint="eastAsia"/>
        </w:rPr>
        <w:t>由</w:t>
      </w:r>
      <w:r w:rsidRPr="00C06EA8">
        <w:rPr>
          <w:lang w:eastAsia="zh-TW"/>
        </w:rPr>
        <w:fldChar w:fldCharType="begin"/>
      </w:r>
      <w:r w:rsidRPr="00C06EA8">
        <w:rPr>
          <w:lang w:eastAsia="zh-TW"/>
        </w:rPr>
        <w:instrText xml:space="preserve"> </w:instrText>
      </w:r>
      <w:r w:rsidRPr="00C06EA8">
        <w:rPr>
          <w:rFonts w:hint="eastAsia"/>
          <w:lang w:eastAsia="zh-TW"/>
        </w:rPr>
        <w:instrText>REF _Ref70659970 \h</w:instrText>
      </w:r>
      <w:r w:rsidRPr="00C06EA8">
        <w:rPr>
          <w:lang w:eastAsia="zh-TW"/>
        </w:rPr>
        <w:instrText xml:space="preserve"> </w:instrText>
      </w:r>
      <w:r w:rsidR="00C06EA8" w:rsidRPr="00C06EA8">
        <w:rPr>
          <w:lang w:eastAsia="zh-TW"/>
        </w:rPr>
        <w:instrText xml:space="preserve"> \* MERGEFORMAT </w:instrText>
      </w:r>
      <w:r w:rsidRPr="00C06EA8">
        <w:rPr>
          <w:lang w:eastAsia="zh-TW"/>
        </w:rPr>
      </w:r>
      <w:r w:rsidRPr="00C06EA8">
        <w:rPr>
          <w:lang w:eastAsia="zh-TW"/>
        </w:rPr>
        <w:fldChar w:fldCharType="separate"/>
      </w:r>
      <w:r w:rsidR="00C22847" w:rsidRPr="00C06EA8">
        <w:rPr>
          <w:rFonts w:hint="eastAsia"/>
        </w:rPr>
        <w:t>表</w:t>
      </w:r>
      <w:r w:rsidR="00C22847" w:rsidRPr="00C06EA8">
        <w:rPr>
          <w:rFonts w:hint="eastAsia"/>
        </w:rPr>
        <w:t xml:space="preserve"> </w:t>
      </w:r>
      <w:r w:rsidR="00C22847" w:rsidRPr="00C06EA8">
        <w:rPr>
          <w:noProof/>
        </w:rPr>
        <w:t>4</w:t>
      </w:r>
      <w:r w:rsidRPr="00C06EA8">
        <w:rPr>
          <w:lang w:eastAsia="zh-TW"/>
        </w:rPr>
        <w:fldChar w:fldCharType="end"/>
      </w:r>
      <w:r w:rsidR="009C50FD" w:rsidRPr="00C06EA8">
        <w:rPr>
          <w:rFonts w:hint="eastAsia"/>
          <w:lang w:eastAsia="zh-TW"/>
        </w:rPr>
        <w:t>可以從獨立樣本</w:t>
      </w:r>
      <w:r w:rsidR="009C50FD" w:rsidRPr="00C06EA8">
        <w:rPr>
          <w:rFonts w:hint="eastAsia"/>
          <w:lang w:eastAsia="zh-TW"/>
        </w:rPr>
        <w:t>T</w:t>
      </w:r>
      <w:r w:rsidR="009C50FD" w:rsidRPr="00C06EA8">
        <w:rPr>
          <w:rFonts w:hint="eastAsia"/>
          <w:lang w:eastAsia="zh-TW"/>
        </w:rPr>
        <w:t>檢定得知</w:t>
      </w:r>
      <w:r w:rsidR="009C50FD" w:rsidRPr="00C06EA8">
        <w:rPr>
          <w:rFonts w:hint="eastAsia"/>
        </w:rPr>
        <w:t>是否關注運動品牌鞋類資訊對運動鞋類之購買意願</w:t>
      </w:r>
      <w:r w:rsidR="009C50FD" w:rsidRPr="00C06EA8">
        <w:t>具顯著差異</w:t>
      </w:r>
      <w:r w:rsidR="009C50FD" w:rsidRPr="00C06EA8">
        <w:rPr>
          <w:rFonts w:hint="eastAsia"/>
          <w:lang w:eastAsia="zh-TW"/>
        </w:rPr>
        <w:t>，</w:t>
      </w:r>
      <w:r w:rsidR="00DD0A86" w:rsidRPr="00C06EA8">
        <w:t>為了能</w:t>
      </w:r>
      <w:r w:rsidR="00DD0A86" w:rsidRPr="00C06EA8">
        <w:rPr>
          <w:rFonts w:hint="eastAsia"/>
        </w:rPr>
        <w:t>得知關注運動品牌鞋類資訊的是與否</w:t>
      </w:r>
      <w:r w:rsidR="00DD0A86" w:rsidRPr="00C06EA8">
        <w:t>差異情形，所以</w:t>
      </w:r>
      <w:r w:rsidR="00DD0A86" w:rsidRPr="00C06EA8">
        <w:rPr>
          <w:rFonts w:hint="eastAsia"/>
        </w:rPr>
        <w:t>觀察是與否平均值的大小，關注運動品牌鞋類資訊對運動鞋類之購買意願</w:t>
      </w:r>
      <w:r w:rsidR="00DD0A86" w:rsidRPr="00C06EA8">
        <w:rPr>
          <w:rFonts w:hint="eastAsia"/>
        </w:rPr>
        <w:t>1:</w:t>
      </w:r>
      <w:r w:rsidR="00DD0A86" w:rsidRPr="00C06EA8">
        <w:rPr>
          <w:rFonts w:hint="eastAsia"/>
        </w:rPr>
        <w:t>款式多樣化的獨立樣本</w:t>
      </w:r>
      <w:r w:rsidR="00DD0A86" w:rsidRPr="00C06EA8">
        <w:rPr>
          <w:rFonts w:hint="eastAsia"/>
        </w:rPr>
        <w:t>T</w:t>
      </w:r>
      <w:r w:rsidR="00DD0A86" w:rsidRPr="00C06EA8">
        <w:rPr>
          <w:rFonts w:hint="eastAsia"/>
        </w:rPr>
        <w:t>檢定是平均值為</w:t>
      </w:r>
      <w:r w:rsidR="00DD0A86" w:rsidRPr="00C06EA8">
        <w:rPr>
          <w:rFonts w:hint="eastAsia"/>
        </w:rPr>
        <w:t>4.08</w:t>
      </w:r>
      <w:r w:rsidR="00DD0A86" w:rsidRPr="00C06EA8">
        <w:rPr>
          <w:rFonts w:hint="eastAsia"/>
        </w:rPr>
        <w:t>大於否平均值為</w:t>
      </w:r>
      <w:r w:rsidR="00DD0A86" w:rsidRPr="00C06EA8">
        <w:rPr>
          <w:rFonts w:hint="eastAsia"/>
        </w:rPr>
        <w:t>3.83</w:t>
      </w:r>
      <w:r w:rsidR="00DD0A86" w:rsidRPr="00C06EA8">
        <w:rPr>
          <w:rFonts w:hint="eastAsia"/>
        </w:rPr>
        <w:t>；關注運動品牌鞋類資訊對運動鞋類之購買意願</w:t>
      </w:r>
      <w:r w:rsidR="00DD0A86" w:rsidRPr="00C06EA8">
        <w:rPr>
          <w:rFonts w:hint="eastAsia"/>
        </w:rPr>
        <w:t>2:</w:t>
      </w:r>
      <w:r w:rsidR="00DD0A86" w:rsidRPr="00C06EA8">
        <w:rPr>
          <w:rFonts w:hint="eastAsia"/>
        </w:rPr>
        <w:t>未來購買更多產品的獨立樣本</w:t>
      </w:r>
      <w:r w:rsidR="00DD0A86" w:rsidRPr="00C06EA8">
        <w:rPr>
          <w:rFonts w:hint="eastAsia"/>
        </w:rPr>
        <w:t>T</w:t>
      </w:r>
      <w:r w:rsidR="00DD0A86" w:rsidRPr="00C06EA8">
        <w:rPr>
          <w:rFonts w:hint="eastAsia"/>
        </w:rPr>
        <w:t>檢定是平均值為</w:t>
      </w:r>
      <w:r w:rsidR="00DD0A86" w:rsidRPr="00C06EA8">
        <w:rPr>
          <w:rFonts w:hint="eastAsia"/>
        </w:rPr>
        <w:t>4.02</w:t>
      </w:r>
      <w:r w:rsidR="00DD0A86" w:rsidRPr="00C06EA8">
        <w:rPr>
          <w:rFonts w:hint="eastAsia"/>
        </w:rPr>
        <w:t>大於否平均值為</w:t>
      </w:r>
      <w:r w:rsidR="00DD0A86" w:rsidRPr="00C06EA8">
        <w:rPr>
          <w:rFonts w:hint="eastAsia"/>
        </w:rPr>
        <w:t>3.57</w:t>
      </w:r>
      <w:r w:rsidR="00DD0A86" w:rsidRPr="00C06EA8">
        <w:rPr>
          <w:rFonts w:hint="eastAsia"/>
        </w:rPr>
        <w:t>；關注運動品牌鞋類資訊對運動鞋類之購買意願</w:t>
      </w:r>
      <w:r w:rsidR="00DD0A86" w:rsidRPr="00C06EA8">
        <w:rPr>
          <w:rFonts w:hint="eastAsia"/>
        </w:rPr>
        <w:t xml:space="preserve">3: </w:t>
      </w:r>
      <w:r w:rsidR="00DD0A86" w:rsidRPr="00C06EA8">
        <w:rPr>
          <w:rFonts w:hint="eastAsia"/>
        </w:rPr>
        <w:t>與他人推薦的獨立樣本</w:t>
      </w:r>
      <w:r w:rsidR="00DD0A86" w:rsidRPr="00C06EA8">
        <w:rPr>
          <w:rFonts w:hint="eastAsia"/>
        </w:rPr>
        <w:t>T</w:t>
      </w:r>
      <w:r w:rsidR="00DD0A86" w:rsidRPr="00C06EA8">
        <w:rPr>
          <w:rFonts w:hint="eastAsia"/>
        </w:rPr>
        <w:t>檢定是平均值為</w:t>
      </w:r>
      <w:r w:rsidR="00DD0A86" w:rsidRPr="00C06EA8">
        <w:rPr>
          <w:rFonts w:hint="eastAsia"/>
        </w:rPr>
        <w:t>3.78</w:t>
      </w:r>
      <w:r w:rsidR="00DD0A86" w:rsidRPr="00C06EA8">
        <w:rPr>
          <w:rFonts w:hint="eastAsia"/>
        </w:rPr>
        <w:t>大於否平均值為</w:t>
      </w:r>
      <w:r w:rsidR="00DD0A86" w:rsidRPr="00C06EA8">
        <w:rPr>
          <w:rFonts w:hint="eastAsia"/>
        </w:rPr>
        <w:t>3.21</w:t>
      </w:r>
      <w:r w:rsidR="00DD0A86" w:rsidRPr="00C06EA8">
        <w:rPr>
          <w:rFonts w:hint="eastAsia"/>
        </w:rPr>
        <w:t>，可以發現所有的關注運動品牌鞋類資訊對運動鞋類之購買意願構面都是是大於否</w:t>
      </w:r>
      <w:r w:rsidR="009C50FD" w:rsidRPr="00C06EA8">
        <w:rPr>
          <w:rFonts w:hint="eastAsia"/>
          <w:lang w:eastAsia="zh-TW"/>
        </w:rPr>
        <w:t>，</w:t>
      </w:r>
      <w:r w:rsidR="009C50FD" w:rsidRPr="00C06EA8">
        <w:rPr>
          <w:rFonts w:hint="eastAsia"/>
        </w:rPr>
        <w:t>故本研究假設</w:t>
      </w:r>
      <w:r w:rsidR="009C50FD" w:rsidRPr="00C06EA8">
        <w:rPr>
          <w:rFonts w:hint="eastAsia"/>
        </w:rPr>
        <w:t>6</w:t>
      </w:r>
      <w:r w:rsidR="009C50FD" w:rsidRPr="00C06EA8">
        <w:rPr>
          <w:rFonts w:hint="eastAsia"/>
        </w:rPr>
        <w:t>成立。</w:t>
      </w:r>
    </w:p>
    <w:p w:rsidR="00DD0A86" w:rsidRPr="00AF33DD" w:rsidRDefault="00DD0A86" w:rsidP="00AF33DD">
      <w:pPr>
        <w:pStyle w:val="12Text"/>
      </w:pPr>
      <w:r w:rsidRPr="00C06EA8">
        <w:rPr>
          <w:rFonts w:hint="eastAsia"/>
        </w:rPr>
        <w:t>根據上述三種構面結果都一樣，代表有關注運動品牌鞋類資訊對運動鞋類之購買意願更高。其可能原因為，當消費者有在關注運動品牌的鞋類資訊，表示對該運動品牌鞋類和產品有興趣，具有吸引力，消費者對自己所關注的品牌會一定的認同和喜愛程度，會想知道最新的運動鞋類和產品，作為考量是否購買的依據。會想推薦他人購買，未來也可能會想購買更多本身關注之品牌的運動鞋類和產品。因此運動鞋類之品牌如何選擇對的管道傳達品牌資訊就相對的重要，如</w:t>
      </w:r>
      <w:r w:rsidR="00E06CB3" w:rsidRPr="00C06EA8">
        <w:fldChar w:fldCharType="begin"/>
      </w:r>
      <w:r w:rsidR="00E06CB3" w:rsidRPr="00C06EA8">
        <w:instrText xml:space="preserve"> </w:instrText>
      </w:r>
      <w:r w:rsidR="00E06CB3" w:rsidRPr="00C06EA8">
        <w:rPr>
          <w:rFonts w:hint="eastAsia"/>
        </w:rPr>
        <w:instrText>REF _Ref70792256 \h</w:instrText>
      </w:r>
      <w:r w:rsidR="00E06CB3" w:rsidRPr="00C06EA8">
        <w:instrText xml:space="preserve"> </w:instrText>
      </w:r>
      <w:r w:rsidR="00C06EA8" w:rsidRPr="00C06EA8">
        <w:instrText xml:space="preserve"> \* MERGEFORMAT </w:instrText>
      </w:r>
      <w:r w:rsidR="00E06CB3" w:rsidRPr="00C06EA8">
        <w:fldChar w:fldCharType="separate"/>
      </w:r>
      <w:r w:rsidR="00C22847" w:rsidRPr="00C06EA8">
        <w:rPr>
          <w:rFonts w:hint="eastAsia"/>
        </w:rPr>
        <w:t>圖</w:t>
      </w:r>
      <w:r w:rsidR="00C22847" w:rsidRPr="00C06EA8">
        <w:rPr>
          <w:rFonts w:hint="eastAsia"/>
        </w:rPr>
        <w:t xml:space="preserve"> </w:t>
      </w:r>
      <w:r w:rsidR="00C22847" w:rsidRPr="00C06EA8">
        <w:rPr>
          <w:noProof/>
        </w:rPr>
        <w:t>13</w:t>
      </w:r>
      <w:r w:rsidR="00E06CB3" w:rsidRPr="00C06EA8">
        <w:fldChar w:fldCharType="end"/>
      </w:r>
      <w:r w:rsidRPr="00AF33DD">
        <w:rPr>
          <w:rFonts w:hint="eastAsia"/>
        </w:rPr>
        <w:t>所示，為消費者得知運動品牌鞋類資訊的管道比例。</w:t>
      </w:r>
    </w:p>
    <w:p w:rsidR="00E06CB3" w:rsidRPr="00AF33DD" w:rsidRDefault="00976502" w:rsidP="00AF33DD">
      <w:bookmarkStart w:id="40" w:name="_Ref70659659"/>
      <w:r w:rsidRPr="00AF33DD">
        <w:drawing>
          <wp:inline distT="0" distB="0" distL="0" distR="0" wp14:anchorId="4FF0E708" wp14:editId="67DBF7E5">
            <wp:extent cx="2922270" cy="1741805"/>
            <wp:effectExtent l="0" t="0" r="0" b="0"/>
            <wp:docPr id="13" name="圖表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bookmarkStart w:id="41" w:name="_Toc59221805"/>
    </w:p>
    <w:p w:rsidR="00DD0A86" w:rsidRPr="00AF33DD" w:rsidRDefault="00014DDD" w:rsidP="00CD03DB">
      <w:pPr>
        <w:pStyle w:val="08"/>
      </w:pPr>
      <w:bookmarkStart w:id="42" w:name="_Ref70792256"/>
      <w:r w:rsidRPr="00AF33DD">
        <w:rPr>
          <w:rFonts w:hint="eastAsia"/>
        </w:rPr>
        <w:t>圖</w:t>
      </w:r>
      <w:r w:rsidRPr="00AF33DD">
        <w:rPr>
          <w:rFonts w:hint="eastAsia"/>
        </w:rPr>
        <w:t xml:space="preserve"> </w:t>
      </w:r>
      <w:r w:rsidRPr="00AF33DD">
        <w:fldChar w:fldCharType="begin"/>
      </w:r>
      <w:r w:rsidRPr="00AF33DD">
        <w:instrText xml:space="preserve"> </w:instrText>
      </w:r>
      <w:r w:rsidRPr="00AF33DD">
        <w:rPr>
          <w:rFonts w:hint="eastAsia"/>
        </w:rPr>
        <w:instrText xml:space="preserve">SEQ </w:instrText>
      </w:r>
      <w:r w:rsidRPr="00AF33DD">
        <w:rPr>
          <w:rFonts w:hint="eastAsia"/>
        </w:rPr>
        <w:instrText>圖</w:instrText>
      </w:r>
      <w:r w:rsidRPr="00AF33DD">
        <w:rPr>
          <w:rFonts w:hint="eastAsia"/>
        </w:rPr>
        <w:instrText xml:space="preserve"> \* ARABIC</w:instrText>
      </w:r>
      <w:r w:rsidRPr="00AF33DD">
        <w:instrText xml:space="preserve"> </w:instrText>
      </w:r>
      <w:r w:rsidRPr="00AF33DD">
        <w:fldChar w:fldCharType="separate"/>
      </w:r>
      <w:r w:rsidR="00C22847" w:rsidRPr="00AF33DD">
        <w:t>13</w:t>
      </w:r>
      <w:r w:rsidRPr="00AF33DD">
        <w:fldChar w:fldCharType="end"/>
      </w:r>
      <w:bookmarkEnd w:id="40"/>
      <w:bookmarkEnd w:id="42"/>
      <w:r w:rsidR="00DD0A86" w:rsidRPr="00AF33DD">
        <w:rPr>
          <w:rFonts w:hint="eastAsia"/>
        </w:rPr>
        <w:t>消費者得知運動品牌鞋類資訊的方式</w:t>
      </w:r>
      <w:bookmarkEnd w:id="41"/>
    </w:p>
    <w:p w:rsidR="00DD0A86" w:rsidRPr="00C06EA8" w:rsidRDefault="00DD0A86" w:rsidP="00AF33DD">
      <w:pPr>
        <w:pStyle w:val="111"/>
      </w:pPr>
      <w:r w:rsidRPr="00C06EA8">
        <w:rPr>
          <w:rFonts w:hint="eastAsia"/>
        </w:rPr>
        <w:t>假設七</w:t>
      </w:r>
      <w:r w:rsidRPr="00C06EA8">
        <w:rPr>
          <w:rFonts w:hint="eastAsia"/>
        </w:rPr>
        <w:t>:</w:t>
      </w:r>
      <w:r w:rsidRPr="00C06EA8">
        <w:rPr>
          <w:rFonts w:hint="eastAsia"/>
        </w:rPr>
        <w:t>品牌形象對運動鞋類之購買意願具正向影響關係</w:t>
      </w:r>
    </w:p>
    <w:p w:rsidR="00DD0A86" w:rsidRPr="00C06EA8" w:rsidRDefault="00014DDD" w:rsidP="00AF33DD">
      <w:pPr>
        <w:pStyle w:val="12Text"/>
      </w:pPr>
      <w:r w:rsidRPr="00AF33DD">
        <w:rPr>
          <w:rFonts w:hint="eastAsia"/>
        </w:rPr>
        <w:t>由</w:t>
      </w:r>
      <w:r w:rsidR="00E06CB3" w:rsidRPr="00C06EA8">
        <w:fldChar w:fldCharType="begin"/>
      </w:r>
      <w:r w:rsidR="00E06CB3" w:rsidRPr="00C06EA8">
        <w:instrText xml:space="preserve"> </w:instrText>
      </w:r>
      <w:r w:rsidR="00E06CB3" w:rsidRPr="00C06EA8">
        <w:rPr>
          <w:rFonts w:hint="eastAsia"/>
        </w:rPr>
        <w:instrText>REF _Ref70792281 \h</w:instrText>
      </w:r>
      <w:r w:rsidR="00E06CB3" w:rsidRPr="00C06EA8">
        <w:instrText xml:space="preserve"> </w:instrText>
      </w:r>
      <w:r w:rsidR="00C06EA8" w:rsidRPr="00C06EA8">
        <w:instrText xml:space="preserve"> \* MERGEFORMAT </w:instrText>
      </w:r>
      <w:r w:rsidR="00E06CB3" w:rsidRPr="00C06EA8">
        <w:fldChar w:fldCharType="separate"/>
      </w:r>
      <w:r w:rsidR="00C22847" w:rsidRPr="00C06EA8">
        <w:rPr>
          <w:rFonts w:hint="eastAsia"/>
        </w:rPr>
        <w:t>圖</w:t>
      </w:r>
      <w:r w:rsidR="00C22847" w:rsidRPr="00C06EA8">
        <w:rPr>
          <w:rFonts w:hint="eastAsia"/>
        </w:rPr>
        <w:t xml:space="preserve"> </w:t>
      </w:r>
      <w:r w:rsidR="00C22847" w:rsidRPr="00C06EA8">
        <w:rPr>
          <w:noProof/>
        </w:rPr>
        <w:t>14</w:t>
      </w:r>
      <w:r w:rsidR="00E06CB3" w:rsidRPr="00C06EA8">
        <w:fldChar w:fldCharType="end"/>
      </w:r>
      <w:r w:rsidR="00C8054F" w:rsidRPr="00AF33DD">
        <w:rPr>
          <w:rFonts w:hint="eastAsia"/>
        </w:rPr>
        <w:t>和</w:t>
      </w:r>
      <w:r w:rsidR="00C8054F" w:rsidRPr="00C06EA8">
        <w:fldChar w:fldCharType="begin"/>
      </w:r>
      <w:r w:rsidR="00C8054F" w:rsidRPr="00C06EA8">
        <w:instrText xml:space="preserve"> REF _Ref70867469 \h </w:instrText>
      </w:r>
      <w:r w:rsidR="00C06EA8" w:rsidRPr="00C06EA8">
        <w:instrText xml:space="preserve"> \* MERGEFORMAT </w:instrText>
      </w:r>
      <w:r w:rsidR="00C8054F" w:rsidRPr="00C06EA8">
        <w:fldChar w:fldCharType="separate"/>
      </w:r>
      <w:r w:rsidR="00C22847" w:rsidRPr="00C06EA8">
        <w:rPr>
          <w:rFonts w:hint="eastAsia"/>
        </w:rPr>
        <w:t>表</w:t>
      </w:r>
      <w:r w:rsidR="00C22847" w:rsidRPr="00C06EA8">
        <w:rPr>
          <w:rFonts w:hint="eastAsia"/>
        </w:rPr>
        <w:t xml:space="preserve"> </w:t>
      </w:r>
      <w:r w:rsidR="00C22847" w:rsidRPr="00C06EA8">
        <w:rPr>
          <w:noProof/>
        </w:rPr>
        <w:t>7</w:t>
      </w:r>
      <w:r w:rsidR="00C8054F" w:rsidRPr="00C06EA8">
        <w:fldChar w:fldCharType="end"/>
      </w:r>
      <w:r w:rsidR="00B81F13" w:rsidRPr="00C06EA8">
        <w:rPr>
          <w:rFonts w:hint="eastAsia"/>
        </w:rPr>
        <w:t>中可以從皮爾森相關分析之定義得知運動鞋類的品牌形象對購買意願三種構面都具中度相關。</w:t>
      </w:r>
    </w:p>
    <w:p w:rsidR="00DD0A86" w:rsidRPr="00C06EA8" w:rsidRDefault="00DD0A86" w:rsidP="00AF33DD">
      <w:pPr>
        <w:pStyle w:val="12Text"/>
      </w:pPr>
      <w:r w:rsidRPr="00C06EA8">
        <w:rPr>
          <w:rFonts w:hint="eastAsia"/>
        </w:rPr>
        <w:t>上述研究後得知，消費者</w:t>
      </w:r>
      <w:r w:rsidR="000E012B" w:rsidRPr="00C06EA8">
        <w:rPr>
          <w:rFonts w:hint="eastAsia"/>
        </w:rPr>
        <w:t>的</w:t>
      </w:r>
      <w:r w:rsidRPr="00C06EA8">
        <w:rPr>
          <w:rFonts w:hint="eastAsia"/>
        </w:rPr>
        <w:t>品牌</w:t>
      </w:r>
      <w:r w:rsidR="00AC6007" w:rsidRPr="00C06EA8">
        <w:rPr>
          <w:rFonts w:hint="eastAsia"/>
        </w:rPr>
        <w:t>形象對運動鞋類之購買意願具正向影響關係，品牌形象是行銷的結果，</w:t>
      </w:r>
      <w:r w:rsidRPr="00C06EA8">
        <w:rPr>
          <w:rFonts w:hint="eastAsia"/>
        </w:rPr>
        <w:t>因此當消費者缺乏購買品牌的動機時，會偏向於利用品牌知名度和品牌形象去選擇商品</w:t>
      </w:r>
      <w:r w:rsidRPr="00C06EA8">
        <w:rPr>
          <w:rFonts w:hint="eastAsia"/>
        </w:rPr>
        <w:t>(</w:t>
      </w:r>
      <w:r w:rsidRPr="00C06EA8">
        <w:t>Keller</w:t>
      </w:r>
      <w:r w:rsidRPr="00AF33DD">
        <w:rPr>
          <w:rFonts w:hint="eastAsia"/>
        </w:rPr>
        <w:t>,1993)</w:t>
      </w:r>
      <w:r w:rsidRPr="00AF33DD">
        <w:t>[</w:t>
      </w:r>
      <w:r w:rsidR="007F0405" w:rsidRPr="00C06EA8">
        <w:fldChar w:fldCharType="begin"/>
      </w:r>
      <w:r w:rsidR="007F0405" w:rsidRPr="00C06EA8">
        <w:instrText xml:space="preserve"> REF _Ref70657349 \r \h </w:instrText>
      </w:r>
      <w:r w:rsidR="00C06EA8" w:rsidRPr="00C06EA8">
        <w:instrText xml:space="preserve"> \* MERGEFORMAT </w:instrText>
      </w:r>
      <w:r w:rsidR="007F0405" w:rsidRPr="00C06EA8">
        <w:fldChar w:fldCharType="separate"/>
      </w:r>
      <w:r w:rsidR="00C22847" w:rsidRPr="00C06EA8">
        <w:t>32</w:t>
      </w:r>
      <w:r w:rsidR="007F0405" w:rsidRPr="00C06EA8">
        <w:fldChar w:fldCharType="end"/>
      </w:r>
      <w:r w:rsidRPr="00AF33DD">
        <w:t>]</w:t>
      </w:r>
      <w:r w:rsidRPr="00AF33DD">
        <w:rPr>
          <w:rFonts w:hint="eastAsia"/>
        </w:rPr>
        <w:t>、</w:t>
      </w:r>
      <w:proofErr w:type="spellStart"/>
      <w:r w:rsidRPr="00C06EA8">
        <w:t>Kamins</w:t>
      </w:r>
      <w:proofErr w:type="spellEnd"/>
      <w:r w:rsidRPr="00C06EA8">
        <w:t xml:space="preserve"> and Marks</w:t>
      </w:r>
      <w:r w:rsidRPr="00AF33DD">
        <w:rPr>
          <w:rFonts w:hint="eastAsia"/>
        </w:rPr>
        <w:t>(1991)[</w:t>
      </w:r>
      <w:r w:rsidR="007F0405" w:rsidRPr="00C06EA8">
        <w:fldChar w:fldCharType="begin"/>
      </w:r>
      <w:r w:rsidR="007F0405" w:rsidRPr="00C06EA8">
        <w:instrText xml:space="preserve"> </w:instrText>
      </w:r>
      <w:r w:rsidR="007F0405" w:rsidRPr="00C06EA8">
        <w:rPr>
          <w:rFonts w:hint="eastAsia"/>
        </w:rPr>
        <w:instrText>REF _Ref70657384 \r \h</w:instrText>
      </w:r>
      <w:r w:rsidR="007F0405" w:rsidRPr="00C06EA8">
        <w:instrText xml:space="preserve"> </w:instrText>
      </w:r>
      <w:r w:rsidR="00C06EA8" w:rsidRPr="00C06EA8">
        <w:instrText xml:space="preserve"> \* MERGEFORMAT </w:instrText>
      </w:r>
      <w:r w:rsidR="007F0405" w:rsidRPr="00C06EA8">
        <w:fldChar w:fldCharType="separate"/>
      </w:r>
      <w:r w:rsidR="00C22847" w:rsidRPr="00C06EA8">
        <w:t>33</w:t>
      </w:r>
      <w:r w:rsidR="007F0405" w:rsidRPr="00C06EA8">
        <w:fldChar w:fldCharType="end"/>
      </w:r>
      <w:r w:rsidRPr="00AF33DD">
        <w:rPr>
          <w:rFonts w:hint="eastAsia"/>
        </w:rPr>
        <w:t>]</w:t>
      </w:r>
      <w:r w:rsidRPr="00AF33DD">
        <w:rPr>
          <w:rFonts w:hint="eastAsia"/>
        </w:rPr>
        <w:t>也認為消費者對於較熟悉的品牌具有較佳的品牌態度與購買意願；而對於較不熟悉的品牌，消費者的購買意願則較低、</w:t>
      </w:r>
      <w:r w:rsidRPr="00C06EA8">
        <w:t>Young</w:t>
      </w:r>
      <w:r w:rsidRPr="00AF33DD">
        <w:rPr>
          <w:rFonts w:hint="eastAsia"/>
        </w:rPr>
        <w:t>、</w:t>
      </w:r>
      <w:r w:rsidRPr="00C06EA8">
        <w:t>Nunes</w:t>
      </w:r>
      <w:r w:rsidRPr="00AF33DD">
        <w:rPr>
          <w:rFonts w:hint="eastAsia"/>
        </w:rPr>
        <w:t>與</w:t>
      </w:r>
      <w:proofErr w:type="spellStart"/>
      <w:r w:rsidRPr="00C06EA8">
        <w:t>Drèze</w:t>
      </w:r>
      <w:proofErr w:type="spellEnd"/>
      <w:r w:rsidRPr="00AF33DD">
        <w:t>(2010)[</w:t>
      </w:r>
      <w:r w:rsidR="007F0405" w:rsidRPr="00C06EA8">
        <w:fldChar w:fldCharType="begin"/>
      </w:r>
      <w:r w:rsidR="007F0405" w:rsidRPr="00C06EA8">
        <w:instrText xml:space="preserve"> REF _Ref59191335 \r \h </w:instrText>
      </w:r>
      <w:r w:rsidR="00C06EA8" w:rsidRPr="00C06EA8">
        <w:instrText xml:space="preserve"> \* MERGEFORMAT </w:instrText>
      </w:r>
      <w:r w:rsidR="007F0405" w:rsidRPr="00C06EA8">
        <w:fldChar w:fldCharType="separate"/>
      </w:r>
      <w:r w:rsidR="00C22847" w:rsidRPr="00C06EA8">
        <w:t>34</w:t>
      </w:r>
      <w:r w:rsidR="007F0405" w:rsidRPr="00C06EA8">
        <w:fldChar w:fldCharType="end"/>
      </w:r>
      <w:r w:rsidRPr="00C06EA8">
        <w:t>]</w:t>
      </w:r>
      <w:r w:rsidRPr="00C06EA8">
        <w:rPr>
          <w:rFonts w:hint="eastAsia"/>
        </w:rPr>
        <w:t>的實證研</w:t>
      </w:r>
      <w:r w:rsidR="000E012B" w:rsidRPr="00C06EA8">
        <w:rPr>
          <w:rFonts w:hint="eastAsia"/>
        </w:rPr>
        <w:t>究指出品牌明顯度的高低對於消費者的購買意願有顯著的影響，與上述</w:t>
      </w:r>
      <w:r w:rsidRPr="00C06EA8">
        <w:rPr>
          <w:rFonts w:hint="eastAsia"/>
        </w:rPr>
        <w:t>學者研究都相同結果，由此可知，故本研究假設</w:t>
      </w:r>
      <w:r w:rsidRPr="00C06EA8">
        <w:rPr>
          <w:rFonts w:hint="eastAsia"/>
        </w:rPr>
        <w:t>7</w:t>
      </w:r>
      <w:r w:rsidRPr="00C06EA8">
        <w:rPr>
          <w:rFonts w:hint="eastAsia"/>
        </w:rPr>
        <w:t>成立。</w:t>
      </w:r>
    </w:p>
    <w:p w:rsidR="00DD0A86" w:rsidRPr="00C06EA8" w:rsidRDefault="00DD0A86" w:rsidP="00AF33DD">
      <w:pPr>
        <w:pStyle w:val="12Text"/>
      </w:pPr>
      <w:r w:rsidRPr="00C06EA8">
        <w:rPr>
          <w:rFonts w:hint="eastAsia"/>
        </w:rPr>
        <w:t>品牌形象與購買意願</w:t>
      </w:r>
      <w:r w:rsidRPr="00C06EA8">
        <w:rPr>
          <w:rFonts w:hint="eastAsia"/>
        </w:rPr>
        <w:t>1:</w:t>
      </w:r>
      <w:r w:rsidRPr="00C06EA8">
        <w:rPr>
          <w:rFonts w:hint="eastAsia"/>
        </w:rPr>
        <w:t>款式多樣化相關，其可能原因為，品牌形象裡的經驗性構面，消費者所追求的是創新的設計，越多新的設計款式供消費者做選擇，就越能滿足消費者內心的購買需求。</w:t>
      </w:r>
    </w:p>
    <w:p w:rsidR="00DD0A86" w:rsidRPr="00C06EA8" w:rsidRDefault="00DD0A86" w:rsidP="00AF33DD">
      <w:pPr>
        <w:pStyle w:val="12Text"/>
      </w:pPr>
      <w:r w:rsidRPr="00C06EA8">
        <w:rPr>
          <w:rFonts w:hint="eastAsia"/>
        </w:rPr>
        <w:t>品牌形象與購買意願</w:t>
      </w:r>
      <w:r w:rsidRPr="00C06EA8">
        <w:rPr>
          <w:rFonts w:hint="eastAsia"/>
        </w:rPr>
        <w:t>2:</w:t>
      </w:r>
      <w:r w:rsidRPr="00C06EA8">
        <w:rPr>
          <w:rFonts w:hint="eastAsia"/>
        </w:rPr>
        <w:t>未來購買更多產品，其可能原因為，消費者購買運動鞋類之依據，是以品牌形象中的功能性構面，消費者會因本身之運動鞋類需求，選擇最符合形象的運動品牌鞋類，假設該運動鞋類品牌可解決消費者之需求，未來便會繼續選擇該運動鞋類品牌做購買產品和服務之選擇。</w:t>
      </w:r>
    </w:p>
    <w:p w:rsidR="00086716" w:rsidRPr="00C06EA8" w:rsidRDefault="00DD0A86" w:rsidP="00AF33DD">
      <w:pPr>
        <w:pStyle w:val="12Text"/>
      </w:pPr>
      <w:r w:rsidRPr="00C06EA8">
        <w:rPr>
          <w:rFonts w:hint="eastAsia"/>
        </w:rPr>
        <w:t>品牌形象與購買意願</w:t>
      </w:r>
      <w:r w:rsidRPr="00C06EA8">
        <w:rPr>
          <w:rFonts w:hint="eastAsia"/>
        </w:rPr>
        <w:t xml:space="preserve">3: </w:t>
      </w:r>
      <w:r w:rsidRPr="00C06EA8">
        <w:rPr>
          <w:rFonts w:hint="eastAsia"/>
        </w:rPr>
        <w:t>與他人推薦，其可能原因為，消費者所購買之運動品牌鞋類，是透過朋友、群體、球星、運動比賽和相關運動項目常出現的運動鞋類之品牌等，利用前面所述的和運動品牌鞋類做連結，有形及無形的推薦給消費者，讓消費者當產生需求需</w:t>
      </w:r>
      <w:r w:rsidRPr="00C06EA8">
        <w:rPr>
          <w:rFonts w:hint="eastAsia"/>
        </w:rPr>
        <w:lastRenderedPageBreak/>
        <w:t>購買某種運動鞋類時，就會想到代表性的品牌。</w:t>
      </w:r>
    </w:p>
    <w:p w:rsidR="00E06CB3" w:rsidRPr="00AF33DD" w:rsidRDefault="00976502" w:rsidP="00AF33DD">
      <w:bookmarkStart w:id="43" w:name="_Ref70659748"/>
      <w:r w:rsidRPr="00AF33DD">
        <w:rPr>
          <w:rFonts w:hint="eastAsia"/>
        </w:rPr>
        <w:drawing>
          <wp:inline distT="0" distB="0" distL="0" distR="0" wp14:anchorId="7CC1EBCC" wp14:editId="367FE89F">
            <wp:extent cx="2922270" cy="1773555"/>
            <wp:effectExtent l="0" t="0" r="0" b="0"/>
            <wp:docPr id="14" name="圖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922270" cy="1773555"/>
                    </a:xfrm>
                    <a:prstGeom prst="rect">
                      <a:avLst/>
                    </a:prstGeom>
                    <a:noFill/>
                    <a:ln>
                      <a:noFill/>
                    </a:ln>
                  </pic:spPr>
                </pic:pic>
              </a:graphicData>
            </a:graphic>
          </wp:inline>
        </w:drawing>
      </w:r>
      <w:bookmarkStart w:id="44" w:name="_Toc59221806"/>
    </w:p>
    <w:p w:rsidR="00086716" w:rsidRPr="00AF33DD" w:rsidRDefault="00014DDD" w:rsidP="00CD03DB">
      <w:pPr>
        <w:pStyle w:val="08"/>
      </w:pPr>
      <w:bookmarkStart w:id="45" w:name="_Ref70792281"/>
      <w:r w:rsidRPr="00AF33DD">
        <w:rPr>
          <w:rFonts w:hint="eastAsia"/>
        </w:rPr>
        <w:t>圖</w:t>
      </w:r>
      <w:r w:rsidRPr="00AF33DD">
        <w:rPr>
          <w:rFonts w:hint="eastAsia"/>
        </w:rPr>
        <w:t xml:space="preserve"> </w:t>
      </w:r>
      <w:r w:rsidRPr="00AF33DD">
        <w:fldChar w:fldCharType="begin"/>
      </w:r>
      <w:r w:rsidRPr="00AF33DD">
        <w:instrText xml:space="preserve"> </w:instrText>
      </w:r>
      <w:r w:rsidRPr="00AF33DD">
        <w:rPr>
          <w:rFonts w:hint="eastAsia"/>
        </w:rPr>
        <w:instrText xml:space="preserve">SEQ </w:instrText>
      </w:r>
      <w:r w:rsidRPr="00AF33DD">
        <w:rPr>
          <w:rFonts w:hint="eastAsia"/>
        </w:rPr>
        <w:instrText>圖</w:instrText>
      </w:r>
      <w:r w:rsidRPr="00AF33DD">
        <w:rPr>
          <w:rFonts w:hint="eastAsia"/>
        </w:rPr>
        <w:instrText xml:space="preserve"> \* ARABIC</w:instrText>
      </w:r>
      <w:r w:rsidRPr="00AF33DD">
        <w:instrText xml:space="preserve"> </w:instrText>
      </w:r>
      <w:r w:rsidRPr="00AF33DD">
        <w:fldChar w:fldCharType="separate"/>
      </w:r>
      <w:r w:rsidR="00C22847" w:rsidRPr="00AF33DD">
        <w:t>14</w:t>
      </w:r>
      <w:r w:rsidRPr="00AF33DD">
        <w:fldChar w:fldCharType="end"/>
      </w:r>
      <w:bookmarkEnd w:id="43"/>
      <w:bookmarkEnd w:id="45"/>
      <w:r w:rsidR="00DD0A86" w:rsidRPr="00AF33DD">
        <w:rPr>
          <w:rFonts w:hint="eastAsia"/>
        </w:rPr>
        <w:t>品牌形象對</w:t>
      </w:r>
      <w:bookmarkStart w:id="46" w:name="_GoBack"/>
      <w:bookmarkEnd w:id="46"/>
      <w:r w:rsidR="00DD0A86" w:rsidRPr="00AF33DD">
        <w:rPr>
          <w:rFonts w:hint="eastAsia"/>
        </w:rPr>
        <w:t>購買意願</w:t>
      </w:r>
      <w:bookmarkEnd w:id="44"/>
    </w:p>
    <w:p w:rsidR="00DD0A86" w:rsidRPr="00C06EA8" w:rsidRDefault="00DD0A86" w:rsidP="00AF33DD">
      <w:pPr>
        <w:pStyle w:val="111"/>
      </w:pPr>
      <w:r w:rsidRPr="00C06EA8">
        <w:rPr>
          <w:rFonts w:hint="eastAsia"/>
        </w:rPr>
        <w:t>假設八</w:t>
      </w:r>
      <w:r w:rsidRPr="00C06EA8">
        <w:rPr>
          <w:rFonts w:hint="eastAsia"/>
        </w:rPr>
        <w:t>:</w:t>
      </w:r>
      <w:r w:rsidRPr="00C06EA8">
        <w:rPr>
          <w:rFonts w:hint="eastAsia"/>
        </w:rPr>
        <w:t>擁有運動鞋數量對品牌形象具顯著影響</w:t>
      </w:r>
    </w:p>
    <w:p w:rsidR="009C50FD" w:rsidRPr="00C06EA8" w:rsidRDefault="00F73EDC" w:rsidP="00AF33DD">
      <w:pPr>
        <w:pStyle w:val="12Text"/>
        <w:rPr>
          <w:snapToGrid w:val="0"/>
        </w:rPr>
      </w:pPr>
      <w:r w:rsidRPr="00AF33DD">
        <w:rPr>
          <w:rFonts w:hint="eastAsia"/>
        </w:rPr>
        <w:t>由</w:t>
      </w:r>
      <w:r w:rsidRPr="00C06EA8">
        <w:rPr>
          <w:snapToGrid w:val="0"/>
          <w:lang w:eastAsia="zh-TW"/>
        </w:rPr>
        <w:fldChar w:fldCharType="begin"/>
      </w:r>
      <w:r w:rsidRPr="00C06EA8">
        <w:rPr>
          <w:snapToGrid w:val="0"/>
          <w:lang w:eastAsia="zh-TW"/>
        </w:rPr>
        <w:instrText xml:space="preserve"> </w:instrText>
      </w:r>
      <w:r w:rsidRPr="00C06EA8">
        <w:rPr>
          <w:rFonts w:hint="eastAsia"/>
          <w:snapToGrid w:val="0"/>
          <w:lang w:eastAsia="zh-TW"/>
        </w:rPr>
        <w:instrText>REF _Ref70659986 \h</w:instrText>
      </w:r>
      <w:r w:rsidRPr="00C06EA8">
        <w:rPr>
          <w:snapToGrid w:val="0"/>
          <w:lang w:eastAsia="zh-TW"/>
        </w:rPr>
        <w:instrText xml:space="preserve"> </w:instrText>
      </w:r>
      <w:r w:rsidR="00C06EA8" w:rsidRPr="00C06EA8">
        <w:rPr>
          <w:snapToGrid w:val="0"/>
          <w:lang w:eastAsia="zh-TW"/>
        </w:rPr>
        <w:instrText xml:space="preserve"> \* MERGEFORMAT </w:instrText>
      </w:r>
      <w:r w:rsidRPr="00C06EA8">
        <w:rPr>
          <w:snapToGrid w:val="0"/>
          <w:lang w:eastAsia="zh-TW"/>
        </w:rPr>
      </w:r>
      <w:r w:rsidRPr="00C06EA8">
        <w:rPr>
          <w:snapToGrid w:val="0"/>
          <w:lang w:eastAsia="zh-TW"/>
        </w:rPr>
        <w:fldChar w:fldCharType="separate"/>
      </w:r>
      <w:r w:rsidR="00C22847" w:rsidRPr="00C06EA8">
        <w:rPr>
          <w:rFonts w:hint="eastAsia"/>
        </w:rPr>
        <w:t>表</w:t>
      </w:r>
      <w:r w:rsidR="00C22847" w:rsidRPr="00C06EA8">
        <w:rPr>
          <w:rFonts w:hint="eastAsia"/>
        </w:rPr>
        <w:t xml:space="preserve"> </w:t>
      </w:r>
      <w:r w:rsidR="00C22847" w:rsidRPr="00C06EA8">
        <w:rPr>
          <w:noProof/>
        </w:rPr>
        <w:t>6</w:t>
      </w:r>
      <w:r w:rsidRPr="00C06EA8">
        <w:rPr>
          <w:snapToGrid w:val="0"/>
          <w:lang w:eastAsia="zh-TW"/>
        </w:rPr>
        <w:fldChar w:fldCharType="end"/>
      </w:r>
      <w:r w:rsidR="009C50FD" w:rsidRPr="00AF33DD">
        <w:rPr>
          <w:rFonts w:hint="eastAsia"/>
        </w:rPr>
        <w:t>可以從單因子變異數分析得知擁有運動鞋數量對運動鞋類之品牌形象具顯著差異，為了能更加深入的了解各變項之間的差異情形，所以使用</w:t>
      </w:r>
      <w:r w:rsidR="009C50FD" w:rsidRPr="00C06EA8">
        <w:rPr>
          <w:snapToGrid w:val="0"/>
        </w:rPr>
        <w:t>LSD</w:t>
      </w:r>
      <w:r w:rsidR="009C50FD" w:rsidRPr="00C06EA8">
        <w:rPr>
          <w:rFonts w:hint="eastAsia"/>
          <w:snapToGrid w:val="0"/>
        </w:rPr>
        <w:t>進行事後比較，由此可知，故本研究假設</w:t>
      </w:r>
      <w:r w:rsidR="009C50FD" w:rsidRPr="00C06EA8">
        <w:rPr>
          <w:rFonts w:hint="eastAsia"/>
          <w:snapToGrid w:val="0"/>
          <w:lang w:eastAsia="zh-TW"/>
        </w:rPr>
        <w:t>8</w:t>
      </w:r>
      <w:r w:rsidR="009C50FD" w:rsidRPr="00C06EA8">
        <w:rPr>
          <w:rFonts w:hint="eastAsia"/>
          <w:snapToGrid w:val="0"/>
        </w:rPr>
        <w:t>成立。</w:t>
      </w:r>
    </w:p>
    <w:p w:rsidR="00DD0A86" w:rsidRPr="00C06EA8" w:rsidRDefault="009C50FD" w:rsidP="00AF33DD">
      <w:pPr>
        <w:pStyle w:val="12Text"/>
      </w:pPr>
      <w:r w:rsidRPr="00C06EA8">
        <w:rPr>
          <w:rFonts w:hint="eastAsia"/>
          <w:lang w:eastAsia="zh-TW"/>
        </w:rPr>
        <w:t>事後</w:t>
      </w:r>
      <w:r w:rsidR="00DD0A86" w:rsidRPr="00C06EA8">
        <w:rPr>
          <w:rFonts w:hint="eastAsia"/>
        </w:rPr>
        <w:t>分析結果，擁有運動鞋數量對運動鞋類之品牌形象具顯著差異，</w:t>
      </w:r>
      <w:r w:rsidR="00DD0A86" w:rsidRPr="00C06EA8">
        <w:rPr>
          <w:rFonts w:hint="eastAsia"/>
        </w:rPr>
        <w:t>5</w:t>
      </w:r>
      <w:r w:rsidR="00DD0A86" w:rsidRPr="00C06EA8">
        <w:rPr>
          <w:rFonts w:hint="eastAsia"/>
        </w:rPr>
        <w:t>雙以上大於</w:t>
      </w:r>
      <w:r w:rsidR="00DD0A86" w:rsidRPr="00C06EA8">
        <w:rPr>
          <w:rFonts w:hint="eastAsia"/>
        </w:rPr>
        <w:t>1-2</w:t>
      </w:r>
      <w:r w:rsidR="00DD0A86" w:rsidRPr="00C06EA8">
        <w:rPr>
          <w:rFonts w:hint="eastAsia"/>
        </w:rPr>
        <w:t>雙，擁有</w:t>
      </w:r>
      <w:r w:rsidR="00DD0A86" w:rsidRPr="00C06EA8">
        <w:rPr>
          <w:rFonts w:hint="eastAsia"/>
        </w:rPr>
        <w:t>5</w:t>
      </w:r>
      <w:r w:rsidR="00DD0A86" w:rsidRPr="00C06EA8">
        <w:rPr>
          <w:rFonts w:hint="eastAsia"/>
        </w:rPr>
        <w:t>雙以上代表消費者對運動鞋類的品牌形象就越高，其可能原因為，此時消費者已經不在是為了運動而購買運動鞋，如</w:t>
      </w:r>
      <w:r w:rsidR="000E012B" w:rsidRPr="00C06EA8">
        <w:rPr>
          <w:lang w:eastAsia="zh-TW"/>
        </w:rPr>
        <w:fldChar w:fldCharType="begin"/>
      </w:r>
      <w:r w:rsidR="000E012B" w:rsidRPr="00C06EA8">
        <w:instrText xml:space="preserve"> </w:instrText>
      </w:r>
      <w:r w:rsidR="000E012B" w:rsidRPr="00C06EA8">
        <w:rPr>
          <w:rFonts w:hint="eastAsia"/>
        </w:rPr>
        <w:instrText>REF _Ref70791854 \h</w:instrText>
      </w:r>
      <w:r w:rsidR="000E012B" w:rsidRPr="00C06EA8">
        <w:instrText xml:space="preserve"> </w:instrText>
      </w:r>
      <w:r w:rsidR="00C06EA8" w:rsidRPr="00C06EA8">
        <w:rPr>
          <w:lang w:eastAsia="zh-TW"/>
        </w:rPr>
        <w:instrText xml:space="preserve"> \* MERGEFORMAT </w:instrText>
      </w:r>
      <w:r w:rsidR="000E012B" w:rsidRPr="00C06EA8">
        <w:rPr>
          <w:lang w:eastAsia="zh-TW"/>
        </w:rPr>
      </w:r>
      <w:r w:rsidR="000E012B" w:rsidRPr="00C06EA8">
        <w:rPr>
          <w:lang w:eastAsia="zh-TW"/>
        </w:rPr>
        <w:fldChar w:fldCharType="separate"/>
      </w:r>
      <w:r w:rsidR="00C22847" w:rsidRPr="00C06EA8">
        <w:rPr>
          <w:rFonts w:hint="eastAsia"/>
        </w:rPr>
        <w:t>圖</w:t>
      </w:r>
      <w:r w:rsidR="00C22847" w:rsidRPr="00C06EA8">
        <w:rPr>
          <w:rFonts w:hint="eastAsia"/>
        </w:rPr>
        <w:t xml:space="preserve"> </w:t>
      </w:r>
      <w:r w:rsidR="00C22847" w:rsidRPr="00C06EA8">
        <w:rPr>
          <w:noProof/>
        </w:rPr>
        <w:t>5</w:t>
      </w:r>
      <w:r w:rsidR="000E012B" w:rsidRPr="00C06EA8">
        <w:rPr>
          <w:lang w:eastAsia="zh-TW"/>
        </w:rPr>
        <w:fldChar w:fldCharType="end"/>
      </w:r>
      <w:r w:rsidR="00DD0A86" w:rsidRPr="00C06EA8">
        <w:rPr>
          <w:rFonts w:hint="eastAsia"/>
        </w:rPr>
        <w:t>所示，而是還有更多的穿著主因，在購買過程中所了解到運動鞋類的品牌形象就因此變高。</w:t>
      </w:r>
    </w:p>
    <w:p w:rsidR="006A61D8" w:rsidRPr="00C06EA8" w:rsidRDefault="00DD0A86" w:rsidP="00AF33DD">
      <w:pPr>
        <w:pStyle w:val="12Text"/>
      </w:pPr>
      <w:r w:rsidRPr="00C06EA8">
        <w:rPr>
          <w:rFonts w:hint="eastAsia"/>
        </w:rPr>
        <w:t>擁有</w:t>
      </w:r>
      <w:r w:rsidRPr="00C06EA8">
        <w:rPr>
          <w:rFonts w:hint="eastAsia"/>
        </w:rPr>
        <w:t>1-2</w:t>
      </w:r>
      <w:r w:rsidRPr="00C06EA8">
        <w:rPr>
          <w:rFonts w:hint="eastAsia"/>
        </w:rPr>
        <w:t>雙的消費者對運動鞋類的品牌形象就低，其可能原因為，消費者對運動鞋類的需求較低，所以只需要</w:t>
      </w:r>
      <w:r w:rsidRPr="00C06EA8">
        <w:rPr>
          <w:rFonts w:hint="eastAsia"/>
        </w:rPr>
        <w:t>1-2</w:t>
      </w:r>
      <w:r w:rsidRPr="00C06EA8">
        <w:rPr>
          <w:rFonts w:hint="eastAsia"/>
        </w:rPr>
        <w:t>雙即能滿足。</w:t>
      </w:r>
      <w:r w:rsidRPr="00C06EA8">
        <w:t>至於擁有</w:t>
      </w:r>
      <w:r w:rsidRPr="00C06EA8">
        <w:rPr>
          <w:rFonts w:hint="eastAsia"/>
        </w:rPr>
        <w:t>3-</w:t>
      </w:r>
      <w:r w:rsidRPr="00C06EA8">
        <w:t>4</w:t>
      </w:r>
      <w:r w:rsidRPr="00C06EA8">
        <w:rPr>
          <w:rFonts w:hint="eastAsia"/>
        </w:rPr>
        <w:t>雙和</w:t>
      </w:r>
      <w:r w:rsidRPr="00C06EA8">
        <w:rPr>
          <w:rFonts w:hint="eastAsia"/>
        </w:rPr>
        <w:t>2-3</w:t>
      </w:r>
      <w:r w:rsidRPr="00C06EA8">
        <w:rPr>
          <w:rFonts w:hint="eastAsia"/>
        </w:rPr>
        <w:t>雙的消費者之所以不顯著，其可能原因為，難以利用此階層的消費者擁有運動鞋數量，去判斷消費者對運動鞋類的品牌形象高低。</w:t>
      </w:r>
    </w:p>
    <w:p w:rsidR="00B66C9C" w:rsidRPr="00AF33DD" w:rsidRDefault="00B66C9C" w:rsidP="00AF33DD">
      <w:pPr>
        <w:pStyle w:val="110"/>
      </w:pPr>
      <w:r w:rsidRPr="00AF33DD">
        <w:rPr>
          <w:rFonts w:hint="eastAsia"/>
        </w:rPr>
        <w:t>結論</w:t>
      </w:r>
    </w:p>
    <w:p w:rsidR="00DD0A86" w:rsidRPr="00C06EA8" w:rsidRDefault="00DD0A86" w:rsidP="00AF33DD">
      <w:pPr>
        <w:pStyle w:val="12Text"/>
        <w:rPr>
          <w:lang w:eastAsia="zh-TW"/>
        </w:rPr>
      </w:pPr>
      <w:r w:rsidRPr="00C06EA8">
        <w:t>近年來運動風氣的蓬勃發展，</w:t>
      </w:r>
      <w:r w:rsidRPr="00C06EA8">
        <w:rPr>
          <w:rFonts w:hint="eastAsia"/>
        </w:rPr>
        <w:t>有鑑於運動鞋市場的運動品牌相互競爭激烈，研究如何在眾多品牌中脫穎而出，讓消費者願意購買，就是本研究的目的，探討運動鞋類品牌的品牌形象、知覺價值對消費者購買意願之影響，而經研究假設進行討論後，</w:t>
      </w:r>
      <w:r w:rsidR="00805C36" w:rsidRPr="00C06EA8">
        <w:t>最後提出</w:t>
      </w:r>
      <w:r w:rsidR="00805C36" w:rsidRPr="00C06EA8">
        <w:rPr>
          <w:rFonts w:hint="eastAsia"/>
          <w:lang w:eastAsia="zh-TW"/>
        </w:rPr>
        <w:t>8</w:t>
      </w:r>
      <w:r w:rsidR="00805C36" w:rsidRPr="00C06EA8">
        <w:rPr>
          <w:rFonts w:hint="eastAsia"/>
          <w:lang w:eastAsia="zh-TW"/>
        </w:rPr>
        <w:t>項假設。只有假設八為部分成立，其餘皆成立，並綜合所有驗證結果得出以下結果。</w:t>
      </w:r>
    </w:p>
    <w:p w:rsidR="00805C36" w:rsidRPr="00AF33DD" w:rsidRDefault="00805C36" w:rsidP="00AF33DD">
      <w:pPr>
        <w:pStyle w:val="12Textleft"/>
        <w:numPr>
          <w:ilvl w:val="0"/>
          <w:numId w:val="50"/>
        </w:numPr>
      </w:pPr>
      <w:r w:rsidRPr="00AF33DD">
        <w:rPr>
          <w:rFonts w:hint="eastAsia"/>
        </w:rPr>
        <w:t>男女購買運動品牌鞋類會考量預防運動傷害及延長運動生涯，並且影響未來購買更多產品之意</w:t>
      </w:r>
      <w:r w:rsidRPr="00AF33DD">
        <w:rPr>
          <w:rFonts w:hint="eastAsia"/>
        </w:rPr>
        <w:t>願。</w:t>
      </w:r>
    </w:p>
    <w:p w:rsidR="00805C36" w:rsidRPr="00AF33DD" w:rsidRDefault="00805C36" w:rsidP="00AF33DD">
      <w:pPr>
        <w:pStyle w:val="12Textleft"/>
        <w:numPr>
          <w:ilvl w:val="0"/>
          <w:numId w:val="50"/>
        </w:numPr>
      </w:pPr>
      <w:r w:rsidRPr="00AF33DD">
        <w:rPr>
          <w:rFonts w:hint="eastAsia"/>
        </w:rPr>
        <w:t>透過社群媒體傳達運動品牌鞋類資訊，能最大化有效提升消費者對運動品牌鞋類的知覺價值，並且同時對購買意願都具有正向的效果。</w:t>
      </w:r>
    </w:p>
    <w:p w:rsidR="00805C36" w:rsidRPr="00AF33DD" w:rsidRDefault="00805C36" w:rsidP="00AF33DD">
      <w:pPr>
        <w:pStyle w:val="12Textleft"/>
        <w:numPr>
          <w:ilvl w:val="0"/>
          <w:numId w:val="50"/>
        </w:numPr>
      </w:pPr>
      <w:r w:rsidRPr="00AF33DD">
        <w:rPr>
          <w:rFonts w:hint="eastAsia"/>
        </w:rPr>
        <w:t>透過功能性、運動球星和分眾化方式，會使消費者對不同運動項目產生獨特的品牌聯想，所以在不同的運動項目中會有著不同代表性的運動鞋類品牌。</w:t>
      </w:r>
    </w:p>
    <w:p w:rsidR="00805C36" w:rsidRPr="00AF33DD" w:rsidRDefault="00805C36" w:rsidP="00AF33DD">
      <w:pPr>
        <w:pStyle w:val="12Textleft"/>
        <w:numPr>
          <w:ilvl w:val="0"/>
          <w:numId w:val="50"/>
        </w:numPr>
      </w:pPr>
      <w:r w:rsidRPr="00AF33DD">
        <w:rPr>
          <w:rFonts w:hint="eastAsia"/>
        </w:rPr>
        <w:t>創造更多的消費者穿著主因，便能增加運動品牌鞋類的品牌形象，對於消費者購買運動鞋類的可能性與數量也就越高。</w:t>
      </w:r>
    </w:p>
    <w:p w:rsidR="00B66C9C" w:rsidRPr="00C06EA8" w:rsidRDefault="00B66C9C" w:rsidP="00AF33DD">
      <w:pPr>
        <w:pStyle w:val="110"/>
      </w:pPr>
      <w:r w:rsidRPr="00C06EA8">
        <w:rPr>
          <w:rFonts w:hint="eastAsia"/>
        </w:rPr>
        <w:t>參考文獻</w:t>
      </w:r>
    </w:p>
    <w:p w:rsidR="008E3CA4" w:rsidRPr="00AF33DD" w:rsidRDefault="008E3CA4" w:rsidP="00AF33DD">
      <w:pPr>
        <w:pStyle w:val="16ref"/>
      </w:pPr>
      <w:bookmarkStart w:id="47" w:name="_Ref70656485"/>
      <w:r w:rsidRPr="00AF33DD">
        <w:rPr>
          <w:rFonts w:hint="eastAsia"/>
        </w:rPr>
        <w:t>中華徵信所</w:t>
      </w:r>
      <w:r w:rsidRPr="00AF33DD">
        <w:rPr>
          <w:rFonts w:hint="eastAsia"/>
        </w:rPr>
        <w:t>(2013)</w:t>
      </w:r>
      <w:r w:rsidRPr="00AF33DD">
        <w:rPr>
          <w:rFonts w:hint="eastAsia"/>
        </w:rPr>
        <w:t>。產業風雲</w:t>
      </w:r>
      <w:r w:rsidRPr="00AF33DD">
        <w:rPr>
          <w:rFonts w:hint="eastAsia"/>
        </w:rPr>
        <w:t>:</w:t>
      </w:r>
      <w:r w:rsidRPr="00AF33DD">
        <w:rPr>
          <w:rFonts w:hint="eastAsia"/>
        </w:rPr>
        <w:t>鞋類業世足賽開踢制鞋</w:t>
      </w:r>
      <w:r w:rsidRPr="00D222B2">
        <w:rPr>
          <w:rFonts w:cs="Times New Roman"/>
        </w:rPr>
        <w:t>high</w:t>
      </w:r>
      <w:r w:rsidRPr="00AF33DD">
        <w:rPr>
          <w:rFonts w:hint="eastAsia"/>
        </w:rPr>
        <w:t>。</w:t>
      </w:r>
      <w:r w:rsidRPr="00AF33DD">
        <w:rPr>
          <w:rFonts w:hint="eastAsia"/>
        </w:rPr>
        <w:t>2020</w:t>
      </w:r>
      <w:r w:rsidRPr="00AF33DD">
        <w:rPr>
          <w:rFonts w:hint="eastAsia"/>
        </w:rPr>
        <w:t>年</w:t>
      </w:r>
      <w:r w:rsidRPr="00AF33DD">
        <w:rPr>
          <w:rFonts w:hint="eastAsia"/>
        </w:rPr>
        <w:t>12</w:t>
      </w:r>
      <w:r w:rsidRPr="00AF33DD">
        <w:rPr>
          <w:rFonts w:hint="eastAsia"/>
        </w:rPr>
        <w:t>月</w:t>
      </w:r>
      <w:r w:rsidRPr="00AF33DD">
        <w:rPr>
          <w:rFonts w:hint="eastAsia"/>
        </w:rPr>
        <w:t>14</w:t>
      </w:r>
      <w:r w:rsidRPr="00AF33DD">
        <w:rPr>
          <w:rFonts w:hint="eastAsia"/>
        </w:rPr>
        <w:t>日，取自</w:t>
      </w:r>
      <w:r w:rsidRPr="00AF33DD">
        <w:rPr>
          <w:rFonts w:hint="eastAsia"/>
        </w:rPr>
        <w:t>:</w:t>
      </w:r>
      <w:r w:rsidRPr="00D222B2">
        <w:rPr>
          <w:rFonts w:cs="Times New Roman"/>
        </w:rPr>
        <w:t>http://www.credit.com.tw/NewCreditOnline/Epaper/IndustrialSubjectContent.aspx?sn=237&amp;unit=441</w:t>
      </w:r>
      <w:r w:rsidRPr="00AF33DD">
        <w:rPr>
          <w:rFonts w:hint="eastAsia"/>
        </w:rPr>
        <w:t>。</w:t>
      </w:r>
      <w:bookmarkEnd w:id="47"/>
    </w:p>
    <w:p w:rsidR="008E3CA4" w:rsidRPr="00AF33DD" w:rsidRDefault="008E3CA4" w:rsidP="00AF33DD">
      <w:pPr>
        <w:pStyle w:val="16ref"/>
      </w:pPr>
      <w:bookmarkStart w:id="48" w:name="_Ref59153130"/>
      <w:r w:rsidRPr="00AF33DD">
        <w:rPr>
          <w:rFonts w:hint="eastAsia"/>
        </w:rPr>
        <w:t>洪順慶</w:t>
      </w:r>
      <w:r w:rsidRPr="00AF33DD">
        <w:rPr>
          <w:rFonts w:hint="eastAsia"/>
        </w:rPr>
        <w:t>(2006)</w:t>
      </w:r>
      <w:r w:rsidRPr="00AF33DD">
        <w:rPr>
          <w:rFonts w:hint="eastAsia"/>
        </w:rPr>
        <w:t>。台灣品牌競爭力。臺北市</w:t>
      </w:r>
      <w:r w:rsidRPr="00AF33DD">
        <w:rPr>
          <w:rFonts w:hint="eastAsia"/>
        </w:rPr>
        <w:t>:</w:t>
      </w:r>
      <w:r w:rsidRPr="00AF33DD">
        <w:rPr>
          <w:rFonts w:hint="eastAsia"/>
        </w:rPr>
        <w:t>天下。</w:t>
      </w:r>
      <w:bookmarkEnd w:id="48"/>
    </w:p>
    <w:p w:rsidR="008E3CA4" w:rsidRPr="00D222B2" w:rsidRDefault="008E3CA4" w:rsidP="00341322">
      <w:pPr>
        <w:pStyle w:val="16ref"/>
        <w:rPr>
          <w:rFonts w:cs="Times New Roman"/>
        </w:rPr>
      </w:pPr>
      <w:bookmarkStart w:id="49" w:name="_Ref59153170"/>
      <w:r w:rsidRPr="00D222B2">
        <w:rPr>
          <w:rFonts w:cs="Times New Roman"/>
        </w:rPr>
        <w:t>Nandan, S. (2005</w:t>
      </w:r>
      <w:proofErr w:type="gramStart"/>
      <w:r w:rsidRPr="00D222B2">
        <w:rPr>
          <w:rFonts w:cs="Times New Roman"/>
        </w:rPr>
        <w:t>).“</w:t>
      </w:r>
      <w:proofErr w:type="gramEnd"/>
      <w:r w:rsidRPr="00D222B2">
        <w:rPr>
          <w:rFonts w:cs="Times New Roman"/>
        </w:rPr>
        <w:t>An Exploration of the Brand Identity-Brand Image Linkage: A Communications Perspective,” Journal of Brand Management, Vol. 12, No. 4, 264- 278.</w:t>
      </w:r>
      <w:bookmarkEnd w:id="49"/>
    </w:p>
    <w:p w:rsidR="008E3CA4" w:rsidRPr="00D222B2" w:rsidRDefault="008E3CA4" w:rsidP="00341322">
      <w:pPr>
        <w:pStyle w:val="16ref"/>
        <w:rPr>
          <w:rFonts w:cs="Times New Roman"/>
        </w:rPr>
      </w:pPr>
      <w:bookmarkStart w:id="50" w:name="_Ref59153201"/>
      <w:r w:rsidRPr="00D222B2">
        <w:rPr>
          <w:rFonts w:cs="Times New Roman"/>
        </w:rPr>
        <w:t>Brandt, M. (1998</w:t>
      </w:r>
      <w:proofErr w:type="gramStart"/>
      <w:r w:rsidRPr="00D222B2">
        <w:rPr>
          <w:rFonts w:cs="Times New Roman"/>
        </w:rPr>
        <w:t>).Don’t</w:t>
      </w:r>
      <w:proofErr w:type="gramEnd"/>
      <w:r w:rsidRPr="00D222B2">
        <w:rPr>
          <w:rFonts w:cs="Times New Roman"/>
        </w:rPr>
        <w:t xml:space="preserve"> dis your </w:t>
      </w:r>
      <w:proofErr w:type="spellStart"/>
      <w:r w:rsidRPr="00D222B2">
        <w:rPr>
          <w:rFonts w:cs="Times New Roman"/>
        </w:rPr>
        <w:t>brand”MC</w:t>
      </w:r>
      <w:proofErr w:type="spellEnd"/>
      <w:r w:rsidRPr="00D222B2">
        <w:rPr>
          <w:rFonts w:cs="Times New Roman"/>
        </w:rPr>
        <w:t xml:space="preserve"> Technology Marketing Intelligence,18(1):46-47.</w:t>
      </w:r>
      <w:bookmarkEnd w:id="50"/>
    </w:p>
    <w:p w:rsidR="008E3CA4" w:rsidRPr="00D222B2" w:rsidRDefault="008E3CA4" w:rsidP="00341322">
      <w:pPr>
        <w:pStyle w:val="16ref"/>
        <w:rPr>
          <w:rFonts w:cs="Times New Roman"/>
        </w:rPr>
      </w:pPr>
      <w:bookmarkStart w:id="51" w:name="_Ref59153927"/>
      <w:r w:rsidRPr="00AF33DD">
        <w:t>前瞻產業研究院</w:t>
      </w:r>
      <w:r w:rsidRPr="00AF33DD">
        <w:t>(2019)</w:t>
      </w:r>
      <w:r w:rsidRPr="00AF33DD">
        <w:t>。運動鞋類全球市場規模與成長。</w:t>
      </w:r>
      <w:r w:rsidRPr="00AF33DD">
        <w:t>2020</w:t>
      </w:r>
      <w:r w:rsidRPr="00AF33DD">
        <w:t>年</w:t>
      </w:r>
      <w:r w:rsidRPr="00AF33DD">
        <w:t>12</w:t>
      </w:r>
      <w:r w:rsidRPr="00AF33DD">
        <w:t>月</w:t>
      </w:r>
      <w:r w:rsidRPr="00AF33DD">
        <w:t>10</w:t>
      </w:r>
      <w:r w:rsidRPr="00AF33DD">
        <w:t>日，取自</w:t>
      </w:r>
      <w:r w:rsidRPr="00AF33DD">
        <w:t xml:space="preserve">: </w:t>
      </w:r>
      <w:hyperlink r:id="rId22" w:history="1">
        <w:r w:rsidRPr="00D222B2">
          <w:rPr>
            <w:rFonts w:cs="Times New Roman"/>
          </w:rPr>
          <w:t>https://kknews.cc/zh-tw/sports/vrvvqm2.html</w:t>
        </w:r>
      </w:hyperlink>
      <w:r w:rsidRPr="00D222B2">
        <w:rPr>
          <w:rFonts w:cs="Times New Roman"/>
        </w:rPr>
        <w:t>。</w:t>
      </w:r>
      <w:bookmarkEnd w:id="51"/>
    </w:p>
    <w:p w:rsidR="007F0405" w:rsidRPr="00D222B2" w:rsidRDefault="007F0405" w:rsidP="00341322">
      <w:pPr>
        <w:pStyle w:val="16ref"/>
        <w:rPr>
          <w:rFonts w:cs="Times New Roman"/>
        </w:rPr>
      </w:pPr>
      <w:bookmarkStart w:id="52" w:name="_Ref70656889"/>
      <w:bookmarkStart w:id="53" w:name="_Ref59154098"/>
      <w:r w:rsidRPr="00D222B2">
        <w:rPr>
          <w:rFonts w:cs="Times New Roman"/>
        </w:rPr>
        <w:t xml:space="preserve">Park, C. W. B. J. </w:t>
      </w:r>
      <w:proofErr w:type="spellStart"/>
      <w:r w:rsidRPr="00D222B2">
        <w:rPr>
          <w:rFonts w:cs="Times New Roman"/>
        </w:rPr>
        <w:t>Joworski</w:t>
      </w:r>
      <w:proofErr w:type="spellEnd"/>
      <w:r w:rsidRPr="00D222B2">
        <w:rPr>
          <w:rFonts w:cs="Times New Roman"/>
        </w:rPr>
        <w:t xml:space="preserve">, and D. J. </w:t>
      </w:r>
      <w:proofErr w:type="spellStart"/>
      <w:proofErr w:type="gramStart"/>
      <w:r w:rsidRPr="00D222B2">
        <w:rPr>
          <w:rFonts w:cs="Times New Roman"/>
        </w:rPr>
        <w:t>MachInnis</w:t>
      </w:r>
      <w:proofErr w:type="spellEnd"/>
      <w:r w:rsidRPr="00D222B2">
        <w:rPr>
          <w:rFonts w:cs="Times New Roman"/>
        </w:rPr>
        <w:t xml:space="preserve"> .</w:t>
      </w:r>
      <w:proofErr w:type="gramEnd"/>
      <w:r w:rsidRPr="00D222B2">
        <w:rPr>
          <w:rFonts w:cs="Times New Roman"/>
        </w:rPr>
        <w:t>(1986).“Strategic Brand Concept-Image Management.” Journal of Marketing, 50, No.4, pp.135-145.</w:t>
      </w:r>
      <w:bookmarkEnd w:id="52"/>
    </w:p>
    <w:p w:rsidR="007F0405" w:rsidRPr="00AF33DD" w:rsidRDefault="007F0405" w:rsidP="00AF33DD">
      <w:pPr>
        <w:pStyle w:val="16ref"/>
      </w:pPr>
      <w:bookmarkStart w:id="54" w:name="_Ref70657084"/>
      <w:r w:rsidRPr="00AF33DD">
        <w:t>彭建彰、呂旺坤</w:t>
      </w:r>
      <w:r w:rsidRPr="00AF33DD">
        <w:t>(2005)</w:t>
      </w:r>
      <w:r w:rsidRPr="00AF33DD">
        <w:t>。品牌行銷與管理。台北市</w:t>
      </w:r>
      <w:r w:rsidRPr="00AF33DD">
        <w:t>:</w:t>
      </w:r>
      <w:r w:rsidRPr="00AF33DD">
        <w:t>華泰。</w:t>
      </w:r>
      <w:bookmarkEnd w:id="54"/>
    </w:p>
    <w:p w:rsidR="008E3CA4" w:rsidRPr="00D222B2" w:rsidRDefault="008E3CA4" w:rsidP="00341322">
      <w:pPr>
        <w:pStyle w:val="16ref"/>
        <w:rPr>
          <w:rFonts w:cs="Times New Roman"/>
        </w:rPr>
      </w:pPr>
      <w:bookmarkStart w:id="55" w:name="_Ref70657092"/>
      <w:proofErr w:type="spellStart"/>
      <w:r w:rsidRPr="00D222B2">
        <w:rPr>
          <w:rFonts w:cs="Times New Roman"/>
        </w:rPr>
        <w:t>Kirmani</w:t>
      </w:r>
      <w:proofErr w:type="spellEnd"/>
      <w:r w:rsidRPr="00D222B2">
        <w:rPr>
          <w:rFonts w:cs="Times New Roman"/>
        </w:rPr>
        <w:t>, A. &amp; Zeithaml, V. (1993</w:t>
      </w:r>
      <w:proofErr w:type="gramStart"/>
      <w:r w:rsidRPr="00D222B2">
        <w:rPr>
          <w:rFonts w:cs="Times New Roman"/>
        </w:rPr>
        <w:t>).Advertising</w:t>
      </w:r>
      <w:proofErr w:type="gramEnd"/>
      <w:r w:rsidRPr="00D222B2">
        <w:rPr>
          <w:rFonts w:cs="Times New Roman"/>
        </w:rPr>
        <w:t xml:space="preserve">, perceived quality and brand image. In Aaker, D.A., &amp; Biel, A. </w:t>
      </w:r>
      <w:proofErr w:type="gramStart"/>
      <w:r w:rsidRPr="00D222B2">
        <w:rPr>
          <w:rFonts w:cs="Times New Roman"/>
        </w:rPr>
        <w:t>L.(</w:t>
      </w:r>
      <w:proofErr w:type="gramEnd"/>
      <w:r w:rsidRPr="00D222B2">
        <w:rPr>
          <w:rFonts w:cs="Times New Roman"/>
        </w:rPr>
        <w:t>Eds.).Brand Equity and Advertising. 143-161.</w:t>
      </w:r>
      <w:bookmarkEnd w:id="53"/>
      <w:bookmarkEnd w:id="55"/>
    </w:p>
    <w:p w:rsidR="008E3CA4" w:rsidRPr="00D222B2" w:rsidRDefault="008E3CA4" w:rsidP="00341322">
      <w:pPr>
        <w:pStyle w:val="16ref"/>
        <w:rPr>
          <w:rFonts w:cs="Times New Roman"/>
        </w:rPr>
      </w:pPr>
      <w:bookmarkStart w:id="56" w:name="_Ref59153106"/>
      <w:r w:rsidRPr="00D222B2">
        <w:rPr>
          <w:rFonts w:cs="Times New Roman"/>
        </w:rPr>
        <w:t xml:space="preserve">Park, C. W. B. J. </w:t>
      </w:r>
      <w:proofErr w:type="spellStart"/>
      <w:r w:rsidRPr="00D222B2">
        <w:rPr>
          <w:rFonts w:cs="Times New Roman"/>
        </w:rPr>
        <w:t>Joworski</w:t>
      </w:r>
      <w:proofErr w:type="spellEnd"/>
      <w:r w:rsidRPr="00D222B2">
        <w:rPr>
          <w:rFonts w:cs="Times New Roman"/>
        </w:rPr>
        <w:t xml:space="preserve">, and D. J. </w:t>
      </w:r>
      <w:proofErr w:type="spellStart"/>
      <w:proofErr w:type="gramStart"/>
      <w:r w:rsidRPr="00D222B2">
        <w:rPr>
          <w:rFonts w:cs="Times New Roman"/>
        </w:rPr>
        <w:t>MachInnis</w:t>
      </w:r>
      <w:proofErr w:type="spellEnd"/>
      <w:r w:rsidRPr="00D222B2">
        <w:rPr>
          <w:rFonts w:cs="Times New Roman"/>
        </w:rPr>
        <w:t xml:space="preserve"> .</w:t>
      </w:r>
      <w:proofErr w:type="gramEnd"/>
      <w:r w:rsidRPr="00D222B2">
        <w:rPr>
          <w:rFonts w:cs="Times New Roman"/>
        </w:rPr>
        <w:t>(1986).“Strategic Brand Concept-</w:t>
      </w:r>
      <w:r w:rsidRPr="00D222B2">
        <w:rPr>
          <w:rFonts w:cs="Times New Roman"/>
        </w:rPr>
        <w:lastRenderedPageBreak/>
        <w:t>Image Management.” Journal of Marketing, 50, No.4, pp.135-145.</w:t>
      </w:r>
      <w:bookmarkEnd w:id="56"/>
    </w:p>
    <w:p w:rsidR="008E3CA4" w:rsidRPr="00D222B2" w:rsidRDefault="008E3CA4" w:rsidP="00341322">
      <w:pPr>
        <w:pStyle w:val="16ref"/>
        <w:rPr>
          <w:rFonts w:cs="Times New Roman"/>
        </w:rPr>
      </w:pPr>
      <w:bookmarkStart w:id="57" w:name="_Ref59154151"/>
      <w:r w:rsidRPr="00D222B2">
        <w:rPr>
          <w:rFonts w:cs="Times New Roman"/>
        </w:rPr>
        <w:t>Biel, A. (1992). “How brand image drives brand equity. Journal of Advertising Research”, 32, 6-12.</w:t>
      </w:r>
      <w:bookmarkEnd w:id="57"/>
    </w:p>
    <w:p w:rsidR="008E3CA4" w:rsidRPr="00D222B2" w:rsidRDefault="008E3CA4" w:rsidP="00341322">
      <w:pPr>
        <w:pStyle w:val="16ref"/>
        <w:rPr>
          <w:rFonts w:cs="Times New Roman"/>
        </w:rPr>
      </w:pPr>
      <w:bookmarkStart w:id="58" w:name="_Ref59154163"/>
      <w:r w:rsidRPr="00D222B2">
        <w:rPr>
          <w:rFonts w:cs="Times New Roman"/>
        </w:rPr>
        <w:t>Keller, K. L. (1993</w:t>
      </w:r>
      <w:proofErr w:type="gramStart"/>
      <w:r w:rsidRPr="00D222B2">
        <w:rPr>
          <w:rFonts w:cs="Times New Roman"/>
        </w:rPr>
        <w:t>).“</w:t>
      </w:r>
      <w:proofErr w:type="gramEnd"/>
      <w:r w:rsidRPr="00D222B2">
        <w:rPr>
          <w:rFonts w:cs="Times New Roman"/>
        </w:rPr>
        <w:t>Conceptualizing, Measuring, and Managing Customer- Based Brand Equity.” Journal of Marketing, 57, No. January, pp.1-22.</w:t>
      </w:r>
      <w:bookmarkEnd w:id="58"/>
    </w:p>
    <w:p w:rsidR="008E3CA4" w:rsidRPr="00D222B2" w:rsidRDefault="008E3CA4" w:rsidP="00341322">
      <w:pPr>
        <w:pStyle w:val="16ref"/>
        <w:rPr>
          <w:rFonts w:cs="Times New Roman"/>
        </w:rPr>
      </w:pPr>
      <w:bookmarkStart w:id="59" w:name="_Ref59154212"/>
      <w:r w:rsidRPr="00D222B2">
        <w:rPr>
          <w:rFonts w:cs="Times New Roman"/>
        </w:rPr>
        <w:t>Chang, H. H., &amp; Liu, Y. M. (2009</w:t>
      </w:r>
      <w:proofErr w:type="gramStart"/>
      <w:r w:rsidRPr="00D222B2">
        <w:rPr>
          <w:rFonts w:cs="Times New Roman"/>
        </w:rPr>
        <w:t>).The</w:t>
      </w:r>
      <w:proofErr w:type="gramEnd"/>
      <w:r w:rsidRPr="00D222B2">
        <w:rPr>
          <w:rFonts w:cs="Times New Roman"/>
        </w:rPr>
        <w:t xml:space="preserve"> impact of brand equity on brand preference and purchase intentions in the service industries. The Service Industries Journal, 29(12): 1687-1706.</w:t>
      </w:r>
      <w:bookmarkEnd w:id="59"/>
    </w:p>
    <w:p w:rsidR="008E3CA4" w:rsidRPr="00D222B2" w:rsidRDefault="008E3CA4" w:rsidP="00341322">
      <w:pPr>
        <w:pStyle w:val="16ref"/>
        <w:rPr>
          <w:rFonts w:cs="Times New Roman"/>
        </w:rPr>
      </w:pPr>
      <w:bookmarkStart w:id="60" w:name="_Ref59154585"/>
      <w:proofErr w:type="spellStart"/>
      <w:r w:rsidRPr="00D222B2">
        <w:rPr>
          <w:rFonts w:cs="Times New Roman"/>
        </w:rPr>
        <w:t>Gardial</w:t>
      </w:r>
      <w:proofErr w:type="spellEnd"/>
      <w:r w:rsidRPr="00D222B2">
        <w:rPr>
          <w:rFonts w:cs="Times New Roman"/>
        </w:rPr>
        <w:t xml:space="preserve">, S. F. Clemons, D. S. Woodruff, R. B. Schumann, D. W. &amp; Burns, M. J. (1994). Comparing consumer’s recall of </w:t>
      </w:r>
      <w:proofErr w:type="spellStart"/>
      <w:r w:rsidRPr="00D222B2">
        <w:rPr>
          <w:rFonts w:cs="Times New Roman"/>
        </w:rPr>
        <w:t>prepurchase</w:t>
      </w:r>
      <w:proofErr w:type="spellEnd"/>
      <w:r w:rsidRPr="00D222B2">
        <w:rPr>
          <w:rFonts w:cs="Times New Roman"/>
        </w:rPr>
        <w:t xml:space="preserve"> and </w:t>
      </w:r>
      <w:proofErr w:type="spellStart"/>
      <w:r w:rsidRPr="00D222B2">
        <w:rPr>
          <w:rFonts w:cs="Times New Roman"/>
        </w:rPr>
        <w:t>postpurchase</w:t>
      </w:r>
      <w:proofErr w:type="spellEnd"/>
      <w:r w:rsidRPr="00D222B2">
        <w:rPr>
          <w:rFonts w:cs="Times New Roman"/>
        </w:rPr>
        <w:t xml:space="preserve"> product evaluation experiences. Journal of Consumer Research, 20(4), 548-560.</w:t>
      </w:r>
      <w:bookmarkEnd w:id="60"/>
    </w:p>
    <w:p w:rsidR="008E3CA4" w:rsidRPr="00D222B2" w:rsidRDefault="008E3CA4" w:rsidP="00341322">
      <w:pPr>
        <w:pStyle w:val="16ref"/>
        <w:rPr>
          <w:rFonts w:cs="Times New Roman"/>
        </w:rPr>
      </w:pPr>
      <w:bookmarkStart w:id="61" w:name="_Ref59154619"/>
      <w:r w:rsidRPr="00D222B2">
        <w:rPr>
          <w:rFonts w:cs="Times New Roman"/>
        </w:rPr>
        <w:t>Thaler, R. (1985</w:t>
      </w:r>
      <w:proofErr w:type="gramStart"/>
      <w:r w:rsidRPr="00D222B2">
        <w:rPr>
          <w:rFonts w:cs="Times New Roman"/>
        </w:rPr>
        <w:t>).Mental</w:t>
      </w:r>
      <w:proofErr w:type="gramEnd"/>
      <w:r w:rsidRPr="00D222B2">
        <w:rPr>
          <w:rFonts w:cs="Times New Roman"/>
        </w:rPr>
        <w:t xml:space="preserve"> accounting and consumer choice. Marketing Science, 4,199-214.</w:t>
      </w:r>
      <w:bookmarkEnd w:id="61"/>
    </w:p>
    <w:p w:rsidR="008E3CA4" w:rsidRPr="00D222B2" w:rsidRDefault="008E3CA4" w:rsidP="00341322">
      <w:pPr>
        <w:pStyle w:val="16ref"/>
        <w:rPr>
          <w:rFonts w:cs="Times New Roman"/>
        </w:rPr>
      </w:pPr>
      <w:bookmarkStart w:id="62" w:name="_Ref59154628"/>
      <w:proofErr w:type="spellStart"/>
      <w:r w:rsidRPr="00D222B2">
        <w:rPr>
          <w:rFonts w:cs="Times New Roman"/>
        </w:rPr>
        <w:t>Swait</w:t>
      </w:r>
      <w:proofErr w:type="spellEnd"/>
      <w:r w:rsidRPr="00D222B2">
        <w:rPr>
          <w:rFonts w:cs="Times New Roman"/>
        </w:rPr>
        <w:t>, J. &amp; Sweeney, J. C. (2002</w:t>
      </w:r>
      <w:proofErr w:type="gramStart"/>
      <w:r w:rsidRPr="00D222B2">
        <w:rPr>
          <w:rFonts w:cs="Times New Roman"/>
        </w:rPr>
        <w:t>).Perceived</w:t>
      </w:r>
      <w:proofErr w:type="gramEnd"/>
      <w:r w:rsidRPr="00D222B2">
        <w:rPr>
          <w:rFonts w:cs="Times New Roman"/>
        </w:rPr>
        <w:t xml:space="preserve"> value and its impact on choice behavior in a retail </w:t>
      </w:r>
      <w:proofErr w:type="spellStart"/>
      <w:r w:rsidRPr="00D222B2">
        <w:rPr>
          <w:rFonts w:cs="Times New Roman"/>
        </w:rPr>
        <w:t>setting,Journal</w:t>
      </w:r>
      <w:proofErr w:type="spellEnd"/>
      <w:r w:rsidRPr="00D222B2">
        <w:rPr>
          <w:rFonts w:cs="Times New Roman"/>
        </w:rPr>
        <w:t xml:space="preserve"> of Retailing and Consumer Services,7(2),77-88.</w:t>
      </w:r>
      <w:bookmarkEnd w:id="62"/>
    </w:p>
    <w:p w:rsidR="008E3CA4" w:rsidRPr="00D222B2" w:rsidRDefault="008E3CA4" w:rsidP="00341322">
      <w:pPr>
        <w:pStyle w:val="16ref"/>
        <w:rPr>
          <w:rFonts w:cs="Times New Roman"/>
        </w:rPr>
      </w:pPr>
      <w:bookmarkStart w:id="63" w:name="_Ref59154768"/>
      <w:proofErr w:type="spellStart"/>
      <w:r w:rsidRPr="00D222B2">
        <w:rPr>
          <w:rFonts w:cs="Times New Roman"/>
        </w:rPr>
        <w:t>Fandos</w:t>
      </w:r>
      <w:proofErr w:type="spellEnd"/>
      <w:r w:rsidRPr="00D222B2">
        <w:rPr>
          <w:rFonts w:cs="Times New Roman"/>
        </w:rPr>
        <w:t>, C. &amp;, C. (2006</w:t>
      </w:r>
      <w:proofErr w:type="gramStart"/>
      <w:r w:rsidRPr="00D222B2">
        <w:rPr>
          <w:rFonts w:cs="Times New Roman"/>
        </w:rPr>
        <w:t>).Intrinsic</w:t>
      </w:r>
      <w:proofErr w:type="gramEnd"/>
      <w:r w:rsidRPr="00D222B2">
        <w:rPr>
          <w:rFonts w:cs="Times New Roman"/>
        </w:rPr>
        <w:t xml:space="preserve"> and extrinsic quality </w:t>
      </w:r>
      <w:proofErr w:type="spellStart"/>
      <w:r w:rsidRPr="00D222B2">
        <w:rPr>
          <w:rFonts w:cs="Times New Roman"/>
        </w:rPr>
        <w:t>attributes,loyalty</w:t>
      </w:r>
      <w:proofErr w:type="spellEnd"/>
      <w:r w:rsidRPr="00D222B2">
        <w:rPr>
          <w:rFonts w:cs="Times New Roman"/>
        </w:rPr>
        <w:t xml:space="preserve"> and buying </w:t>
      </w:r>
      <w:proofErr w:type="spellStart"/>
      <w:r w:rsidRPr="00D222B2">
        <w:rPr>
          <w:rFonts w:cs="Times New Roman"/>
        </w:rPr>
        <w:t>intention:an</w:t>
      </w:r>
      <w:proofErr w:type="spellEnd"/>
      <w:r w:rsidRPr="00D222B2">
        <w:rPr>
          <w:rFonts w:cs="Times New Roman"/>
        </w:rPr>
        <w:t xml:space="preserve"> analysis for a PDO </w:t>
      </w:r>
      <w:proofErr w:type="spellStart"/>
      <w:r w:rsidRPr="00D222B2">
        <w:rPr>
          <w:rFonts w:cs="Times New Roman"/>
        </w:rPr>
        <w:t>product.British</w:t>
      </w:r>
      <w:proofErr w:type="spellEnd"/>
      <w:r w:rsidRPr="00D222B2">
        <w:rPr>
          <w:rFonts w:cs="Times New Roman"/>
        </w:rPr>
        <w:t xml:space="preserve"> Food Journal,108(8),646-662.</w:t>
      </w:r>
      <w:bookmarkEnd w:id="63"/>
    </w:p>
    <w:p w:rsidR="008E3CA4" w:rsidRPr="00D222B2" w:rsidRDefault="008E3CA4" w:rsidP="00341322">
      <w:pPr>
        <w:pStyle w:val="16ref"/>
        <w:rPr>
          <w:rFonts w:cs="Times New Roman"/>
        </w:rPr>
      </w:pPr>
      <w:bookmarkStart w:id="64" w:name="_Ref70657180"/>
      <w:proofErr w:type="spellStart"/>
      <w:r w:rsidRPr="00D222B2">
        <w:rPr>
          <w:rFonts w:cs="Times New Roman"/>
        </w:rPr>
        <w:t>Sheth</w:t>
      </w:r>
      <w:proofErr w:type="spellEnd"/>
      <w:r w:rsidRPr="00D222B2">
        <w:rPr>
          <w:rFonts w:cs="Times New Roman"/>
        </w:rPr>
        <w:t>, J. N. Newman, B. I. and Gross B. L. (1991</w:t>
      </w:r>
      <w:proofErr w:type="gramStart"/>
      <w:r w:rsidRPr="00D222B2">
        <w:rPr>
          <w:rFonts w:cs="Times New Roman"/>
        </w:rPr>
        <w:t>).“</w:t>
      </w:r>
      <w:proofErr w:type="gramEnd"/>
      <w:r w:rsidRPr="00D222B2">
        <w:rPr>
          <w:rFonts w:cs="Times New Roman"/>
        </w:rPr>
        <w:t>Why We Buy What We Buy: A Theory of Consumption Value,” Journal of Business Research, 22(1), pp. 159-170.</w:t>
      </w:r>
      <w:bookmarkEnd w:id="64"/>
    </w:p>
    <w:p w:rsidR="008E3CA4" w:rsidRPr="00D222B2" w:rsidRDefault="008E3CA4" w:rsidP="00341322">
      <w:pPr>
        <w:pStyle w:val="16ref"/>
        <w:rPr>
          <w:rFonts w:cs="Times New Roman"/>
        </w:rPr>
      </w:pPr>
      <w:bookmarkStart w:id="65" w:name="_Ref59154803"/>
      <w:proofErr w:type="spellStart"/>
      <w:r w:rsidRPr="00D222B2">
        <w:rPr>
          <w:rFonts w:cs="Times New Roman"/>
        </w:rPr>
        <w:t>Petrick</w:t>
      </w:r>
      <w:proofErr w:type="spellEnd"/>
      <w:r w:rsidRPr="00D222B2">
        <w:rPr>
          <w:rFonts w:cs="Times New Roman"/>
        </w:rPr>
        <w:t>. (2002</w:t>
      </w:r>
      <w:proofErr w:type="gramStart"/>
      <w:r w:rsidRPr="00D222B2">
        <w:rPr>
          <w:rFonts w:cs="Times New Roman"/>
        </w:rPr>
        <w:t>).James</w:t>
      </w:r>
      <w:proofErr w:type="gramEnd"/>
      <w:r w:rsidRPr="00D222B2">
        <w:rPr>
          <w:rFonts w:cs="Times New Roman"/>
        </w:rPr>
        <w:t xml:space="preserve"> F. Development of Multi-Dimensional Scale for Measuring the Perceived Value of a Service, Journal of Leisure Research, vol. 34, No. 2, pp. 119-134.</w:t>
      </w:r>
      <w:bookmarkEnd w:id="65"/>
    </w:p>
    <w:p w:rsidR="008E3CA4" w:rsidRPr="00D222B2" w:rsidRDefault="008E3CA4" w:rsidP="00341322">
      <w:pPr>
        <w:pStyle w:val="16ref"/>
        <w:rPr>
          <w:rFonts w:cs="Times New Roman"/>
        </w:rPr>
      </w:pPr>
      <w:bookmarkStart w:id="66" w:name="_Ref59154838"/>
      <w:proofErr w:type="spellStart"/>
      <w:r w:rsidRPr="00D222B2">
        <w:rPr>
          <w:rFonts w:cs="Times New Roman"/>
        </w:rPr>
        <w:t>Bagozzi</w:t>
      </w:r>
      <w:proofErr w:type="spellEnd"/>
      <w:r w:rsidRPr="00D222B2">
        <w:rPr>
          <w:rFonts w:cs="Times New Roman"/>
        </w:rPr>
        <w:t xml:space="preserve">, R. P. &amp; </w:t>
      </w:r>
      <w:proofErr w:type="spellStart"/>
      <w:r w:rsidRPr="00D222B2">
        <w:rPr>
          <w:rFonts w:cs="Times New Roman"/>
        </w:rPr>
        <w:t>Burnkrant</w:t>
      </w:r>
      <w:proofErr w:type="spellEnd"/>
      <w:r w:rsidRPr="00D222B2">
        <w:rPr>
          <w:rFonts w:cs="Times New Roman"/>
        </w:rPr>
        <w:t>, R. E. (1979). Attitude Organization and The Attitude-Behavior Relationship. Journal of Personality and Social Psychology, 37(4), 913-929.Bendapudi, N. and L. L.</w:t>
      </w:r>
      <w:bookmarkEnd w:id="66"/>
    </w:p>
    <w:p w:rsidR="008E3CA4" w:rsidRPr="00D222B2" w:rsidRDefault="008E3CA4" w:rsidP="00341322">
      <w:pPr>
        <w:pStyle w:val="16ref"/>
        <w:rPr>
          <w:rFonts w:cs="Times New Roman"/>
        </w:rPr>
      </w:pPr>
      <w:bookmarkStart w:id="67" w:name="_Ref59154827"/>
      <w:r w:rsidRPr="00D222B2">
        <w:rPr>
          <w:rFonts w:cs="Times New Roman"/>
        </w:rPr>
        <w:t xml:space="preserve">Schiffman, L. </w:t>
      </w:r>
      <w:proofErr w:type="spellStart"/>
      <w:r w:rsidRPr="00D222B2">
        <w:rPr>
          <w:rFonts w:cs="Times New Roman"/>
        </w:rPr>
        <w:t>G.and</w:t>
      </w:r>
      <w:proofErr w:type="spellEnd"/>
      <w:r w:rsidRPr="00D222B2">
        <w:rPr>
          <w:rFonts w:cs="Times New Roman"/>
        </w:rPr>
        <w:t xml:space="preserve"> </w:t>
      </w:r>
      <w:proofErr w:type="spellStart"/>
      <w:proofErr w:type="gramStart"/>
      <w:r w:rsidRPr="00D222B2">
        <w:rPr>
          <w:rFonts w:cs="Times New Roman"/>
        </w:rPr>
        <w:t>Kaunk,L</w:t>
      </w:r>
      <w:proofErr w:type="spellEnd"/>
      <w:r w:rsidRPr="00D222B2">
        <w:rPr>
          <w:rFonts w:cs="Times New Roman"/>
        </w:rPr>
        <w:t>.</w:t>
      </w:r>
      <w:proofErr w:type="gramEnd"/>
      <w:r w:rsidRPr="00D222B2">
        <w:rPr>
          <w:rFonts w:cs="Times New Roman"/>
        </w:rPr>
        <w:t xml:space="preserve"> L. (2000),Consumer Behavior 7th, N. J:Prentice Hall.</w:t>
      </w:r>
      <w:bookmarkEnd w:id="67"/>
    </w:p>
    <w:p w:rsidR="008E3CA4" w:rsidRPr="00D222B2" w:rsidRDefault="008E3CA4" w:rsidP="00341322">
      <w:pPr>
        <w:pStyle w:val="16ref"/>
        <w:rPr>
          <w:rFonts w:cs="Times New Roman"/>
        </w:rPr>
      </w:pPr>
      <w:bookmarkStart w:id="68" w:name="_Ref70657210"/>
      <w:r w:rsidRPr="00D222B2">
        <w:rPr>
          <w:rFonts w:cs="Times New Roman"/>
        </w:rPr>
        <w:t>Keller, K. L. (1993</w:t>
      </w:r>
      <w:proofErr w:type="gramStart"/>
      <w:r w:rsidRPr="00D222B2">
        <w:rPr>
          <w:rFonts w:cs="Times New Roman"/>
        </w:rPr>
        <w:t>).“</w:t>
      </w:r>
      <w:proofErr w:type="gramEnd"/>
      <w:r w:rsidRPr="00D222B2">
        <w:rPr>
          <w:rFonts w:cs="Times New Roman"/>
        </w:rPr>
        <w:t xml:space="preserve">Conceptualizing, Measuring, and Managing Customer- Based Brand Equity.” </w:t>
      </w:r>
      <w:r w:rsidRPr="00D222B2">
        <w:rPr>
          <w:rFonts w:cs="Times New Roman"/>
        </w:rPr>
        <w:t>Journal of Marketing, 57, No. January, pp.1-22.</w:t>
      </w:r>
      <w:bookmarkEnd w:id="68"/>
    </w:p>
    <w:p w:rsidR="008E3CA4" w:rsidRPr="00D222B2" w:rsidRDefault="008E3CA4" w:rsidP="00341322">
      <w:pPr>
        <w:pStyle w:val="16ref"/>
        <w:rPr>
          <w:rFonts w:cs="Times New Roman"/>
        </w:rPr>
      </w:pPr>
      <w:bookmarkStart w:id="69" w:name="_Ref59222429"/>
      <w:r w:rsidRPr="00D222B2">
        <w:rPr>
          <w:rFonts w:cs="Times New Roman"/>
        </w:rPr>
        <w:t>Zeithaml, V. A. (1988</w:t>
      </w:r>
      <w:proofErr w:type="gramStart"/>
      <w:r w:rsidRPr="00D222B2">
        <w:rPr>
          <w:rFonts w:cs="Times New Roman"/>
        </w:rPr>
        <w:t>).Consumer</w:t>
      </w:r>
      <w:proofErr w:type="gramEnd"/>
      <w:r w:rsidRPr="00D222B2">
        <w:rPr>
          <w:rFonts w:cs="Times New Roman"/>
        </w:rPr>
        <w:t xml:space="preserve"> perceptions of price, quality, and value: A means-end model and synthesis of evidences. Journal of Marketing,52(3), 2 - 22.</w:t>
      </w:r>
      <w:bookmarkEnd w:id="69"/>
    </w:p>
    <w:p w:rsidR="008E3CA4" w:rsidRPr="00D222B2" w:rsidRDefault="008E3CA4" w:rsidP="00341322">
      <w:pPr>
        <w:pStyle w:val="16ref"/>
        <w:rPr>
          <w:rFonts w:cs="Times New Roman"/>
        </w:rPr>
      </w:pPr>
      <w:bookmarkStart w:id="70" w:name="_Ref70657221"/>
      <w:r w:rsidRPr="00AF33DD">
        <w:t>王志剛、謝文雀編譯</w:t>
      </w:r>
      <w:r w:rsidRPr="00AF33DD">
        <w:t>(1995)</w:t>
      </w:r>
      <w:r w:rsidRPr="00AF33DD">
        <w:t>。消費者行為。初版，台北：華泰書局。</w:t>
      </w:r>
      <w:r w:rsidRPr="00AF33DD">
        <w:t>(</w:t>
      </w:r>
      <w:r w:rsidRPr="00AF33DD">
        <w:t>原著</w:t>
      </w:r>
      <w:r w:rsidRPr="00D222B2">
        <w:rPr>
          <w:rFonts w:cs="Times New Roman"/>
        </w:rPr>
        <w:t xml:space="preserve"> </w:t>
      </w:r>
      <w:proofErr w:type="spellStart"/>
      <w:r w:rsidRPr="00D222B2">
        <w:rPr>
          <w:rFonts w:cs="Times New Roman"/>
        </w:rPr>
        <w:t>Engel,J.F</w:t>
      </w:r>
      <w:proofErr w:type="spellEnd"/>
      <w:r w:rsidRPr="00D222B2">
        <w:rPr>
          <w:rFonts w:cs="Times New Roman"/>
        </w:rPr>
        <w:t xml:space="preserve">., Blackwell, R.D. and </w:t>
      </w:r>
      <w:proofErr w:type="spellStart"/>
      <w:r w:rsidRPr="00D222B2">
        <w:rPr>
          <w:rFonts w:cs="Times New Roman"/>
        </w:rPr>
        <w:t>Miniard</w:t>
      </w:r>
      <w:proofErr w:type="spellEnd"/>
      <w:r w:rsidRPr="00D222B2">
        <w:rPr>
          <w:rFonts w:cs="Times New Roman"/>
        </w:rPr>
        <w:t>, P. W.)</w:t>
      </w:r>
      <w:r w:rsidRPr="00D222B2">
        <w:rPr>
          <w:rFonts w:cs="Times New Roman"/>
        </w:rPr>
        <w:t>。</w:t>
      </w:r>
      <w:bookmarkEnd w:id="70"/>
    </w:p>
    <w:p w:rsidR="008E3CA4" w:rsidRPr="00D222B2" w:rsidRDefault="008E3CA4" w:rsidP="00341322">
      <w:pPr>
        <w:pStyle w:val="16ref"/>
        <w:rPr>
          <w:rFonts w:cs="Times New Roman"/>
        </w:rPr>
      </w:pPr>
      <w:bookmarkStart w:id="71" w:name="_Ref59155309"/>
      <w:r w:rsidRPr="00D222B2">
        <w:rPr>
          <w:rFonts w:cs="Times New Roman"/>
        </w:rPr>
        <w:t>Bearden, W. O. Lichtenstein, D. R. &amp; Teel, J. E. (1984</w:t>
      </w:r>
      <w:proofErr w:type="gramStart"/>
      <w:r w:rsidRPr="00D222B2">
        <w:rPr>
          <w:rFonts w:cs="Times New Roman"/>
        </w:rPr>
        <w:t>).Comparison</w:t>
      </w:r>
      <w:proofErr w:type="gramEnd"/>
      <w:r w:rsidRPr="00D222B2">
        <w:rPr>
          <w:rFonts w:cs="Times New Roman"/>
        </w:rPr>
        <w:t xml:space="preserve"> </w:t>
      </w:r>
      <w:proofErr w:type="spellStart"/>
      <w:r w:rsidRPr="00D222B2">
        <w:rPr>
          <w:rFonts w:cs="Times New Roman"/>
        </w:rPr>
        <w:t>price,coupon</w:t>
      </w:r>
      <w:proofErr w:type="spellEnd"/>
      <w:r w:rsidRPr="00D222B2">
        <w:rPr>
          <w:rFonts w:cs="Times New Roman"/>
        </w:rPr>
        <w:t>, and brand effects on consumer reactions to retail newspaper advertisements. Journal of Retailing, 60(2), pp.11-34.</w:t>
      </w:r>
      <w:bookmarkEnd w:id="71"/>
    </w:p>
    <w:p w:rsidR="008E3CA4" w:rsidRPr="00D222B2" w:rsidRDefault="008E3CA4" w:rsidP="00341322">
      <w:pPr>
        <w:pStyle w:val="16ref"/>
        <w:rPr>
          <w:rFonts w:cs="Times New Roman"/>
        </w:rPr>
      </w:pPr>
      <w:bookmarkStart w:id="72" w:name="_Ref59155322"/>
      <w:proofErr w:type="spellStart"/>
      <w:r w:rsidRPr="00D222B2">
        <w:rPr>
          <w:rFonts w:cs="Times New Roman"/>
        </w:rPr>
        <w:t>Sirohi</w:t>
      </w:r>
      <w:proofErr w:type="spellEnd"/>
      <w:r w:rsidRPr="00D222B2">
        <w:rPr>
          <w:rFonts w:cs="Times New Roman"/>
        </w:rPr>
        <w:t xml:space="preserve">, N. McLaughlin, E. W. &amp; </w:t>
      </w:r>
      <w:proofErr w:type="spellStart"/>
      <w:r w:rsidRPr="00D222B2">
        <w:rPr>
          <w:rFonts w:cs="Times New Roman"/>
        </w:rPr>
        <w:t>Wittink</w:t>
      </w:r>
      <w:proofErr w:type="spellEnd"/>
      <w:r w:rsidRPr="00D222B2">
        <w:rPr>
          <w:rFonts w:cs="Times New Roman"/>
        </w:rPr>
        <w:t xml:space="preserve">, D. </w:t>
      </w:r>
      <w:proofErr w:type="gramStart"/>
      <w:r w:rsidRPr="00D222B2">
        <w:rPr>
          <w:rFonts w:cs="Times New Roman"/>
        </w:rPr>
        <w:t>R.(</w:t>
      </w:r>
      <w:proofErr w:type="gramEnd"/>
      <w:r w:rsidRPr="00D222B2">
        <w:rPr>
          <w:rFonts w:cs="Times New Roman"/>
        </w:rPr>
        <w:t>1998).A model of consumer perceptions and store loyalty intentions for a supermarket retailer. Journal of Retailing. 74(2), 223-245.</w:t>
      </w:r>
      <w:bookmarkEnd w:id="72"/>
    </w:p>
    <w:p w:rsidR="008E3CA4" w:rsidRPr="00D222B2" w:rsidRDefault="008E3CA4" w:rsidP="00341322">
      <w:pPr>
        <w:pStyle w:val="16ref"/>
        <w:rPr>
          <w:rFonts w:cs="Times New Roman"/>
        </w:rPr>
      </w:pPr>
      <w:bookmarkStart w:id="73" w:name="_Ref59155335"/>
      <w:proofErr w:type="spellStart"/>
      <w:r w:rsidRPr="00D222B2">
        <w:rPr>
          <w:rFonts w:cs="Times New Roman"/>
        </w:rPr>
        <w:t>Dodds</w:t>
      </w:r>
      <w:proofErr w:type="spellEnd"/>
      <w:r w:rsidRPr="00D222B2">
        <w:rPr>
          <w:rFonts w:cs="Times New Roman"/>
        </w:rPr>
        <w:t xml:space="preserve">, et. Al. (1991). “Effect of </w:t>
      </w:r>
      <w:proofErr w:type="spellStart"/>
      <w:proofErr w:type="gramStart"/>
      <w:r w:rsidRPr="00D222B2">
        <w:rPr>
          <w:rFonts w:cs="Times New Roman"/>
        </w:rPr>
        <w:t>Price,Brand</w:t>
      </w:r>
      <w:proofErr w:type="gramEnd"/>
      <w:r w:rsidRPr="00D222B2">
        <w:rPr>
          <w:rFonts w:cs="Times New Roman"/>
        </w:rPr>
        <w:t>,and</w:t>
      </w:r>
      <w:proofErr w:type="spellEnd"/>
      <w:r w:rsidRPr="00D222B2">
        <w:rPr>
          <w:rFonts w:cs="Times New Roman"/>
        </w:rPr>
        <w:t xml:space="preserve"> Store Information on </w:t>
      </w:r>
      <w:proofErr w:type="spellStart"/>
      <w:r w:rsidRPr="00D222B2">
        <w:rPr>
          <w:rFonts w:cs="Times New Roman"/>
        </w:rPr>
        <w:t>Buybers</w:t>
      </w:r>
      <w:proofErr w:type="spellEnd"/>
      <w:r w:rsidRPr="00D222B2">
        <w:rPr>
          <w:rFonts w:cs="Times New Roman"/>
        </w:rPr>
        <w:t xml:space="preserve"> Product Evaluation.”</w:t>
      </w:r>
      <w:proofErr w:type="spellStart"/>
      <w:r w:rsidRPr="00D222B2">
        <w:rPr>
          <w:rFonts w:cs="Times New Roman"/>
        </w:rPr>
        <w:t>Jouranl</w:t>
      </w:r>
      <w:proofErr w:type="spellEnd"/>
      <w:r w:rsidRPr="00D222B2">
        <w:rPr>
          <w:rFonts w:cs="Times New Roman"/>
        </w:rPr>
        <w:t xml:space="preserve"> of </w:t>
      </w:r>
      <w:proofErr w:type="spellStart"/>
      <w:r w:rsidRPr="00D222B2">
        <w:rPr>
          <w:rFonts w:cs="Times New Roman"/>
        </w:rPr>
        <w:t>Marketing,Research</w:t>
      </w:r>
      <w:proofErr w:type="spellEnd"/>
      <w:r w:rsidRPr="00D222B2">
        <w:rPr>
          <w:rFonts w:cs="Times New Roman"/>
        </w:rPr>
        <w:t xml:space="preserve"> 28(3),307-309.</w:t>
      </w:r>
      <w:bookmarkEnd w:id="73"/>
    </w:p>
    <w:p w:rsidR="008E3CA4" w:rsidRPr="00D222B2" w:rsidRDefault="008E3CA4" w:rsidP="00341322">
      <w:pPr>
        <w:pStyle w:val="16ref"/>
        <w:rPr>
          <w:rFonts w:cs="Times New Roman"/>
        </w:rPr>
      </w:pPr>
      <w:bookmarkStart w:id="74" w:name="_Ref70657257"/>
      <w:r w:rsidRPr="00D222B2">
        <w:rPr>
          <w:rFonts w:cs="Times New Roman"/>
        </w:rPr>
        <w:t>Zeithaml, V. A. (1988</w:t>
      </w:r>
      <w:proofErr w:type="gramStart"/>
      <w:r w:rsidRPr="00D222B2">
        <w:rPr>
          <w:rFonts w:cs="Times New Roman"/>
        </w:rPr>
        <w:t>).Consumer</w:t>
      </w:r>
      <w:proofErr w:type="gramEnd"/>
      <w:r w:rsidRPr="00D222B2">
        <w:rPr>
          <w:rFonts w:cs="Times New Roman"/>
        </w:rPr>
        <w:t xml:space="preserve"> perceptions of price, quality, and value: A means-end model and synthesis of evidences. Journal of Marketing,52(3), 2 - 22.</w:t>
      </w:r>
      <w:bookmarkEnd w:id="74"/>
    </w:p>
    <w:p w:rsidR="008E3CA4" w:rsidRPr="00AF33DD" w:rsidRDefault="008E3CA4" w:rsidP="00AF33DD">
      <w:pPr>
        <w:pStyle w:val="16ref"/>
      </w:pPr>
      <w:bookmarkStart w:id="75" w:name="_Ref59190296"/>
      <w:r w:rsidRPr="00AF33DD">
        <w:t>吳冠輩</w:t>
      </w:r>
      <w:r w:rsidRPr="00AF33DD">
        <w:t>(2016)</w:t>
      </w:r>
      <w:r w:rsidRPr="00AF33DD">
        <w:t>。</w:t>
      </w:r>
      <w:r w:rsidRPr="00AF33DD">
        <w:t>3C</w:t>
      </w:r>
      <w:r w:rsidRPr="00AF33DD">
        <w:t>產品的口碑、知覺價值對購買意願知影響。</w:t>
      </w:r>
      <w:r w:rsidRPr="00AF33DD">
        <w:t>(</w:t>
      </w:r>
      <w:r w:rsidRPr="00AF33DD">
        <w:t>未出版碩士論文</w:t>
      </w:r>
      <w:r w:rsidRPr="00AF33DD">
        <w:t>)</w:t>
      </w:r>
      <w:r w:rsidRPr="00AF33DD">
        <w:t>，大葉大學管理學院碩士在職專班，彰化。</w:t>
      </w:r>
      <w:bookmarkEnd w:id="75"/>
    </w:p>
    <w:p w:rsidR="008E3CA4" w:rsidRPr="00D222B2" w:rsidRDefault="008E3CA4" w:rsidP="00341322">
      <w:pPr>
        <w:pStyle w:val="16ref"/>
        <w:rPr>
          <w:rFonts w:cs="Times New Roman"/>
        </w:rPr>
      </w:pPr>
      <w:bookmarkStart w:id="76" w:name="_Ref70657282"/>
      <w:proofErr w:type="spellStart"/>
      <w:r w:rsidRPr="00D222B2">
        <w:rPr>
          <w:rFonts w:cs="Times New Roman"/>
        </w:rPr>
        <w:t>Petrick</w:t>
      </w:r>
      <w:proofErr w:type="spellEnd"/>
      <w:r w:rsidRPr="00D222B2">
        <w:rPr>
          <w:rFonts w:cs="Times New Roman"/>
        </w:rPr>
        <w:t>. (2002</w:t>
      </w:r>
      <w:proofErr w:type="gramStart"/>
      <w:r w:rsidRPr="00D222B2">
        <w:rPr>
          <w:rFonts w:cs="Times New Roman"/>
        </w:rPr>
        <w:t>).James</w:t>
      </w:r>
      <w:proofErr w:type="gramEnd"/>
      <w:r w:rsidRPr="00D222B2">
        <w:rPr>
          <w:rFonts w:cs="Times New Roman"/>
        </w:rPr>
        <w:t xml:space="preserve"> F. Development of Multi-Dimensional Scale for Measuring the Perceived Value of a Service, Journal of Leisure Research, vol. 34, No. 2, pp. 119-134.</w:t>
      </w:r>
      <w:bookmarkEnd w:id="76"/>
    </w:p>
    <w:p w:rsidR="008E3CA4" w:rsidRPr="00D222B2" w:rsidRDefault="008E3CA4" w:rsidP="00341322">
      <w:pPr>
        <w:pStyle w:val="16ref"/>
        <w:rPr>
          <w:rFonts w:cs="Times New Roman"/>
        </w:rPr>
      </w:pPr>
      <w:bookmarkStart w:id="77" w:name="_Ref59155462"/>
      <w:r w:rsidRPr="00AF33DD">
        <w:t>教育部體育署</w:t>
      </w:r>
      <w:r w:rsidRPr="00AF33DD">
        <w:t>(</w:t>
      </w:r>
      <w:r w:rsidRPr="00AF33DD">
        <w:t>民</w:t>
      </w:r>
      <w:r w:rsidRPr="00AF33DD">
        <w:t xml:space="preserve">107) </w:t>
      </w:r>
      <w:r w:rsidRPr="00AF33DD">
        <w:t>。</w:t>
      </w:r>
      <w:r w:rsidRPr="00AF33DD">
        <w:t>107</w:t>
      </w:r>
      <w:r w:rsidRPr="00AF33DD">
        <w:t>年運動現況調查成果發表記者會自發樂活愛運動，幸福有感</w:t>
      </w:r>
      <w:proofErr w:type="spellStart"/>
      <w:r w:rsidRPr="00AF33DD">
        <w:t>i</w:t>
      </w:r>
      <w:proofErr w:type="spellEnd"/>
      <w:r w:rsidRPr="00AF33DD">
        <w:t>臺灣。</w:t>
      </w:r>
      <w:r w:rsidRPr="00AF33DD">
        <w:t>2020</w:t>
      </w:r>
      <w:r w:rsidRPr="00AF33DD">
        <w:t>年</w:t>
      </w:r>
      <w:r w:rsidRPr="00AF33DD">
        <w:t>12</w:t>
      </w:r>
      <w:r w:rsidRPr="00AF33DD">
        <w:t>月</w:t>
      </w:r>
      <w:r w:rsidRPr="00AF33DD">
        <w:t>8</w:t>
      </w:r>
      <w:r w:rsidRPr="00AF33DD">
        <w:t>日，取自</w:t>
      </w:r>
      <w:r w:rsidRPr="00AF33DD">
        <w:t>:</w:t>
      </w:r>
      <w:r w:rsidRPr="00D222B2">
        <w:rPr>
          <w:rFonts w:cs="Times New Roman"/>
        </w:rPr>
        <w:t xml:space="preserve"> </w:t>
      </w:r>
      <w:hyperlink r:id="rId23" w:history="1">
        <w:r w:rsidRPr="00D222B2">
          <w:rPr>
            <w:rFonts w:cs="Times New Roman"/>
          </w:rPr>
          <w:t>https://www.sa.gov.tw/News/NewsDetail?Type=3&amp;page=9&amp;id=1963&amp;n=92</w:t>
        </w:r>
      </w:hyperlink>
      <w:r w:rsidRPr="00D222B2">
        <w:rPr>
          <w:rFonts w:cs="Times New Roman"/>
        </w:rPr>
        <w:t>。</w:t>
      </w:r>
      <w:bookmarkEnd w:id="77"/>
    </w:p>
    <w:p w:rsidR="008E3CA4" w:rsidRPr="00AF33DD" w:rsidRDefault="008E3CA4" w:rsidP="00AF33DD">
      <w:pPr>
        <w:pStyle w:val="16ref"/>
      </w:pPr>
      <w:bookmarkStart w:id="78" w:name="_Ref59155483"/>
      <w:r w:rsidRPr="00AF33DD">
        <w:t>黃麗卿、季瑋珠、鐘嫈嫈（</w:t>
      </w:r>
      <w:r w:rsidRPr="00AF33DD">
        <w:t>1993</w:t>
      </w:r>
      <w:r w:rsidRPr="00AF33DD">
        <w:t>）。某專校學生運動情況與運動傷害之調查，中華民國家庭醫學雜誌，</w:t>
      </w:r>
      <w:r w:rsidRPr="00AF33DD">
        <w:t>3 (4)</w:t>
      </w:r>
      <w:r w:rsidRPr="00AF33DD">
        <w:t>，</w:t>
      </w:r>
      <w:r w:rsidRPr="00AF33DD">
        <w:t>166-173</w:t>
      </w:r>
      <w:r w:rsidRPr="00AF33DD">
        <w:t>。</w:t>
      </w:r>
      <w:bookmarkEnd w:id="78"/>
    </w:p>
    <w:p w:rsidR="008E3CA4" w:rsidRPr="00D222B2" w:rsidRDefault="008E3CA4" w:rsidP="00341322">
      <w:pPr>
        <w:pStyle w:val="16ref"/>
        <w:rPr>
          <w:rFonts w:cs="Times New Roman"/>
        </w:rPr>
      </w:pPr>
      <w:bookmarkStart w:id="79" w:name="_Ref70657349"/>
      <w:r w:rsidRPr="00D222B2">
        <w:rPr>
          <w:rFonts w:cs="Times New Roman"/>
        </w:rPr>
        <w:t>Keller, K. L. (1993</w:t>
      </w:r>
      <w:proofErr w:type="gramStart"/>
      <w:r w:rsidRPr="00D222B2">
        <w:rPr>
          <w:rFonts w:cs="Times New Roman"/>
        </w:rPr>
        <w:t>).“</w:t>
      </w:r>
      <w:proofErr w:type="gramEnd"/>
      <w:r w:rsidRPr="00D222B2">
        <w:rPr>
          <w:rFonts w:cs="Times New Roman"/>
        </w:rPr>
        <w:t>Conceptualizing, Measuring, and Managing Customer- Based Brand Equity.” Journal of Marketing, 57, No. January, pp.1-22.</w:t>
      </w:r>
      <w:bookmarkEnd w:id="79"/>
    </w:p>
    <w:p w:rsidR="008E3CA4" w:rsidRPr="00D222B2" w:rsidRDefault="008E3CA4" w:rsidP="00341322">
      <w:pPr>
        <w:pStyle w:val="16ref"/>
        <w:rPr>
          <w:rFonts w:cs="Times New Roman"/>
        </w:rPr>
      </w:pPr>
      <w:bookmarkStart w:id="80" w:name="_Ref59191188"/>
      <w:bookmarkStart w:id="81" w:name="_Ref70657384"/>
      <w:proofErr w:type="spellStart"/>
      <w:r w:rsidRPr="00D222B2">
        <w:rPr>
          <w:rFonts w:cs="Times New Roman"/>
        </w:rPr>
        <w:lastRenderedPageBreak/>
        <w:t>Kamins</w:t>
      </w:r>
      <w:proofErr w:type="spellEnd"/>
      <w:r w:rsidRPr="00D222B2">
        <w:rPr>
          <w:rFonts w:cs="Times New Roman"/>
        </w:rPr>
        <w:t xml:space="preserve">, M. A. &amp; Marks. (1991), L. J. The Perception of Kosher as a </w:t>
      </w:r>
      <w:proofErr w:type="gramStart"/>
      <w:r w:rsidRPr="00D222B2">
        <w:rPr>
          <w:rFonts w:cs="Times New Roman"/>
        </w:rPr>
        <w:t>Third Party</w:t>
      </w:r>
      <w:proofErr w:type="gramEnd"/>
      <w:r w:rsidRPr="00D222B2">
        <w:rPr>
          <w:rFonts w:cs="Times New Roman"/>
        </w:rPr>
        <w:t xml:space="preserve"> Certification Claim in Advertising for Familiar &amp; Unfamiliar </w:t>
      </w:r>
      <w:proofErr w:type="spellStart"/>
      <w:r w:rsidRPr="00D222B2">
        <w:rPr>
          <w:rFonts w:cs="Times New Roman"/>
        </w:rPr>
        <w:t>Brands.Journal</w:t>
      </w:r>
      <w:proofErr w:type="spellEnd"/>
      <w:r w:rsidRPr="00D222B2">
        <w:rPr>
          <w:rFonts w:cs="Times New Roman"/>
        </w:rPr>
        <w:t xml:space="preserve"> of the Academy of Marketing Science</w:t>
      </w:r>
      <w:bookmarkEnd w:id="80"/>
      <w:r w:rsidRPr="00D222B2">
        <w:rPr>
          <w:rFonts w:cs="Times New Roman"/>
        </w:rPr>
        <w:t>.</w:t>
      </w:r>
      <w:bookmarkEnd w:id="81"/>
    </w:p>
    <w:p w:rsidR="00F7198D" w:rsidRPr="00D222B2" w:rsidRDefault="008E3CA4" w:rsidP="00341322">
      <w:pPr>
        <w:pStyle w:val="16ref"/>
        <w:rPr>
          <w:rFonts w:cs="Times New Roman"/>
        </w:rPr>
      </w:pPr>
      <w:bookmarkStart w:id="82" w:name="_Ref59191335"/>
      <w:r w:rsidRPr="00D222B2">
        <w:rPr>
          <w:rFonts w:cs="Times New Roman"/>
        </w:rPr>
        <w:t xml:space="preserve">Young </w:t>
      </w:r>
      <w:proofErr w:type="spellStart"/>
      <w:r w:rsidRPr="00D222B2">
        <w:rPr>
          <w:rFonts w:cs="Times New Roman"/>
        </w:rPr>
        <w:t>Jee</w:t>
      </w:r>
      <w:proofErr w:type="spellEnd"/>
      <w:r w:rsidRPr="00D222B2">
        <w:rPr>
          <w:rFonts w:cs="Times New Roman"/>
        </w:rPr>
        <w:t xml:space="preserve"> Han, Joseph C. Nunes, and Xavier </w:t>
      </w:r>
      <w:proofErr w:type="spellStart"/>
      <w:proofErr w:type="gramStart"/>
      <w:r w:rsidRPr="00D222B2">
        <w:rPr>
          <w:rFonts w:cs="Times New Roman"/>
        </w:rPr>
        <w:t>Drèze</w:t>
      </w:r>
      <w:proofErr w:type="spellEnd"/>
      <w:r w:rsidRPr="00D222B2">
        <w:rPr>
          <w:rFonts w:cs="Times New Roman"/>
        </w:rPr>
        <w:t>(</w:t>
      </w:r>
      <w:proofErr w:type="gramEnd"/>
      <w:r w:rsidRPr="00D222B2">
        <w:rPr>
          <w:rFonts w:cs="Times New Roman"/>
        </w:rPr>
        <w:t>2010).“Signaling Status with Luxury Goods</w:t>
      </w:r>
      <w:r w:rsidRPr="00D222B2">
        <w:rPr>
          <w:rFonts w:cs="Times New Roman"/>
        </w:rPr>
        <w:t>：</w:t>
      </w:r>
      <w:r w:rsidRPr="00D222B2">
        <w:rPr>
          <w:rFonts w:cs="Times New Roman"/>
        </w:rPr>
        <w:t xml:space="preserve">The Role </w:t>
      </w:r>
      <w:proofErr w:type="spellStart"/>
      <w:r w:rsidRPr="00D222B2">
        <w:rPr>
          <w:rFonts w:cs="Times New Roman"/>
        </w:rPr>
        <w:t>ofBrand</w:t>
      </w:r>
      <w:proofErr w:type="spellEnd"/>
      <w:r w:rsidRPr="00D222B2">
        <w:rPr>
          <w:rFonts w:cs="Times New Roman"/>
        </w:rPr>
        <w:t xml:space="preserve"> Prominence”, Journal of Marketing, Vol.74, pp.15-30.</w:t>
      </w:r>
      <w:bookmarkEnd w:id="82"/>
    </w:p>
    <w:sectPr w:rsidR="00F7198D" w:rsidRPr="00D222B2" w:rsidSect="00F7198D">
      <w:type w:val="continuous"/>
      <w:pgSz w:w="11906" w:h="16838"/>
      <w:pgMar w:top="1418" w:right="1134" w:bottom="1418" w:left="1134" w:header="851" w:footer="992" w:gutter="0"/>
      <w:cols w:num="2"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F6C7D" w:rsidRDefault="006F6C7D" w:rsidP="00955AF6">
      <w:r>
        <w:separator/>
      </w:r>
    </w:p>
  </w:endnote>
  <w:endnote w:type="continuationSeparator" w:id="0">
    <w:p w:rsidR="006F6C7D" w:rsidRDefault="006F6C7D" w:rsidP="00955A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微軟正黑體">
    <w:altName w:val="_L軟鱌玳"/>
    <w:panose1 w:val="020B0604030504040204"/>
    <w:charset w:val="88"/>
    <w:family w:val="swiss"/>
    <w:pitch w:val="variable"/>
    <w:sig w:usb0="000002A7" w:usb1="28CF4400" w:usb2="00000016" w:usb3="00000000" w:csb0="00100009" w:csb1="00000000"/>
  </w:font>
  <w:font w:name="Microsoft Himalaya">
    <w:panose1 w:val="01010100010101010101"/>
    <w:charset w:val="00"/>
    <w:family w:val="auto"/>
    <w:pitch w:val="variable"/>
    <w:sig w:usb0="80000003" w:usb1="00010000" w:usb2="00000040" w:usb3="00000000" w:csb0="00000001" w:csb1="00000000"/>
  </w:font>
  <w:font w:name="微軟正黑體 Light">
    <w:panose1 w:val="020B0304030504040204"/>
    <w:charset w:val="88"/>
    <w:family w:val="swiss"/>
    <w:pitch w:val="variable"/>
    <w:sig w:usb0="800002A7" w:usb1="28CF4400" w:usb2="00000016" w:usb3="00000000" w:csb0="00100009" w:csb1="00000000"/>
  </w:font>
  <w:font w:name="標楷體">
    <w:panose1 w:val="03000509000000000000"/>
    <w:charset w:val="88"/>
    <w:family w:val="script"/>
    <w:pitch w:val="fixed"/>
    <w:sig w:usb0="00000003" w:usb1="080E0000" w:usb2="00000016" w:usb3="00000000" w:csb0="00100001" w:csb1="00000000"/>
  </w:font>
  <w:font w:name="Lucida Fax">
    <w:panose1 w:val="020606020505050202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F6C7D" w:rsidRDefault="006F6C7D" w:rsidP="00955AF6">
      <w:r>
        <w:separator/>
      </w:r>
    </w:p>
  </w:footnote>
  <w:footnote w:type="continuationSeparator" w:id="0">
    <w:p w:rsidR="006F6C7D" w:rsidRDefault="006F6C7D" w:rsidP="00955AF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545256B8"/>
    <w:lvl w:ilvl="0">
      <w:start w:val="1"/>
      <w:numFmt w:val="decimal"/>
      <w:lvlText w:val="%1."/>
      <w:lvlJc w:val="left"/>
      <w:pPr>
        <w:tabs>
          <w:tab w:val="num" w:pos="2281"/>
        </w:tabs>
        <w:ind w:leftChars="1000" w:left="2281" w:hangingChars="200" w:hanging="360"/>
      </w:pPr>
    </w:lvl>
  </w:abstractNum>
  <w:abstractNum w:abstractNumId="1" w15:restartNumberingAfterBreak="0">
    <w:nsid w:val="FFFFFF7D"/>
    <w:multiLevelType w:val="singleLevel"/>
    <w:tmpl w:val="BEE28D68"/>
    <w:lvl w:ilvl="0">
      <w:start w:val="1"/>
      <w:numFmt w:val="decimal"/>
      <w:lvlText w:val="%1."/>
      <w:lvlJc w:val="left"/>
      <w:pPr>
        <w:tabs>
          <w:tab w:val="num" w:pos="1801"/>
        </w:tabs>
        <w:ind w:leftChars="800" w:left="1801" w:hangingChars="200" w:hanging="360"/>
      </w:pPr>
    </w:lvl>
  </w:abstractNum>
  <w:abstractNum w:abstractNumId="2" w15:restartNumberingAfterBreak="0">
    <w:nsid w:val="FFFFFF7E"/>
    <w:multiLevelType w:val="singleLevel"/>
    <w:tmpl w:val="4D0897A6"/>
    <w:lvl w:ilvl="0">
      <w:start w:val="1"/>
      <w:numFmt w:val="decimal"/>
      <w:lvlText w:val="%1."/>
      <w:lvlJc w:val="left"/>
      <w:pPr>
        <w:tabs>
          <w:tab w:val="num" w:pos="1321"/>
        </w:tabs>
        <w:ind w:leftChars="600" w:left="1321" w:hangingChars="200" w:hanging="360"/>
      </w:pPr>
    </w:lvl>
  </w:abstractNum>
  <w:abstractNum w:abstractNumId="3" w15:restartNumberingAfterBreak="0">
    <w:nsid w:val="FFFFFF7F"/>
    <w:multiLevelType w:val="singleLevel"/>
    <w:tmpl w:val="EBEC7170"/>
    <w:lvl w:ilvl="0">
      <w:start w:val="1"/>
      <w:numFmt w:val="decimal"/>
      <w:lvlText w:val="%1."/>
      <w:lvlJc w:val="left"/>
      <w:pPr>
        <w:tabs>
          <w:tab w:val="num" w:pos="841"/>
        </w:tabs>
        <w:ind w:leftChars="400" w:left="841" w:hangingChars="200" w:hanging="360"/>
      </w:pPr>
    </w:lvl>
  </w:abstractNum>
  <w:abstractNum w:abstractNumId="4" w15:restartNumberingAfterBreak="0">
    <w:nsid w:val="FFFFFF80"/>
    <w:multiLevelType w:val="singleLevel"/>
    <w:tmpl w:val="99CA4C08"/>
    <w:lvl w:ilvl="0">
      <w:start w:val="1"/>
      <w:numFmt w:val="bullet"/>
      <w:lvlText w:val=""/>
      <w:lvlJc w:val="left"/>
      <w:pPr>
        <w:tabs>
          <w:tab w:val="num" w:pos="2281"/>
        </w:tabs>
        <w:ind w:leftChars="1000" w:left="2281" w:hangingChars="200" w:hanging="360"/>
      </w:pPr>
      <w:rPr>
        <w:rFonts w:ascii="Wingdings" w:hAnsi="Wingdings" w:hint="default"/>
      </w:rPr>
    </w:lvl>
  </w:abstractNum>
  <w:abstractNum w:abstractNumId="5" w15:restartNumberingAfterBreak="0">
    <w:nsid w:val="FFFFFF81"/>
    <w:multiLevelType w:val="singleLevel"/>
    <w:tmpl w:val="E758C010"/>
    <w:lvl w:ilvl="0">
      <w:start w:val="1"/>
      <w:numFmt w:val="bullet"/>
      <w:lvlText w:val=""/>
      <w:lvlJc w:val="left"/>
      <w:pPr>
        <w:tabs>
          <w:tab w:val="num" w:pos="1801"/>
        </w:tabs>
        <w:ind w:leftChars="800" w:left="1801" w:hangingChars="200" w:hanging="360"/>
      </w:pPr>
      <w:rPr>
        <w:rFonts w:ascii="Wingdings" w:hAnsi="Wingdings" w:hint="default"/>
      </w:rPr>
    </w:lvl>
  </w:abstractNum>
  <w:abstractNum w:abstractNumId="6" w15:restartNumberingAfterBreak="0">
    <w:nsid w:val="FFFFFF82"/>
    <w:multiLevelType w:val="singleLevel"/>
    <w:tmpl w:val="0396D2B4"/>
    <w:lvl w:ilvl="0">
      <w:start w:val="1"/>
      <w:numFmt w:val="bullet"/>
      <w:lvlText w:val=""/>
      <w:lvlJc w:val="left"/>
      <w:pPr>
        <w:tabs>
          <w:tab w:val="num" w:pos="1321"/>
        </w:tabs>
        <w:ind w:leftChars="600" w:left="1321" w:hangingChars="200" w:hanging="360"/>
      </w:pPr>
      <w:rPr>
        <w:rFonts w:ascii="Wingdings" w:hAnsi="Wingdings" w:hint="default"/>
      </w:rPr>
    </w:lvl>
  </w:abstractNum>
  <w:abstractNum w:abstractNumId="7" w15:restartNumberingAfterBreak="0">
    <w:nsid w:val="FFFFFF83"/>
    <w:multiLevelType w:val="singleLevel"/>
    <w:tmpl w:val="45B6B5F2"/>
    <w:lvl w:ilvl="0">
      <w:start w:val="1"/>
      <w:numFmt w:val="bullet"/>
      <w:lvlText w:val=""/>
      <w:lvlJc w:val="left"/>
      <w:pPr>
        <w:tabs>
          <w:tab w:val="num" w:pos="841"/>
        </w:tabs>
        <w:ind w:leftChars="400" w:left="841" w:hangingChars="200" w:hanging="360"/>
      </w:pPr>
      <w:rPr>
        <w:rFonts w:ascii="Wingdings" w:hAnsi="Wingdings" w:hint="default"/>
      </w:rPr>
    </w:lvl>
  </w:abstractNum>
  <w:abstractNum w:abstractNumId="8" w15:restartNumberingAfterBreak="0">
    <w:nsid w:val="FFFFFF88"/>
    <w:multiLevelType w:val="singleLevel"/>
    <w:tmpl w:val="4CE41C2E"/>
    <w:lvl w:ilvl="0">
      <w:start w:val="1"/>
      <w:numFmt w:val="decimal"/>
      <w:lvlText w:val="%1."/>
      <w:lvlJc w:val="left"/>
      <w:pPr>
        <w:tabs>
          <w:tab w:val="num" w:pos="361"/>
        </w:tabs>
        <w:ind w:leftChars="200" w:left="361" w:hangingChars="200" w:hanging="360"/>
      </w:pPr>
    </w:lvl>
  </w:abstractNum>
  <w:abstractNum w:abstractNumId="9" w15:restartNumberingAfterBreak="0">
    <w:nsid w:val="FFFFFF89"/>
    <w:multiLevelType w:val="singleLevel"/>
    <w:tmpl w:val="8C9CBAEC"/>
    <w:lvl w:ilvl="0">
      <w:start w:val="1"/>
      <w:numFmt w:val="bullet"/>
      <w:lvlText w:val=""/>
      <w:lvlJc w:val="left"/>
      <w:pPr>
        <w:tabs>
          <w:tab w:val="num" w:pos="361"/>
        </w:tabs>
        <w:ind w:leftChars="200" w:left="361" w:hangingChars="200" w:hanging="360"/>
      </w:pPr>
      <w:rPr>
        <w:rFonts w:ascii="Wingdings" w:hAnsi="Wingdings" w:hint="default"/>
      </w:rPr>
    </w:lvl>
  </w:abstractNum>
  <w:abstractNum w:abstractNumId="10" w15:restartNumberingAfterBreak="0">
    <w:nsid w:val="090A62AC"/>
    <w:multiLevelType w:val="hybridMultilevel"/>
    <w:tmpl w:val="1E061130"/>
    <w:lvl w:ilvl="0" w:tplc="04090015">
      <w:start w:val="1"/>
      <w:numFmt w:val="taiwaneseCountingThousand"/>
      <w:lvlText w:val="%1、"/>
      <w:lvlJc w:val="left"/>
      <w:pPr>
        <w:ind w:left="880" w:hanging="480"/>
      </w:pPr>
    </w:lvl>
    <w:lvl w:ilvl="1" w:tplc="04090019" w:tentative="1">
      <w:start w:val="1"/>
      <w:numFmt w:val="ideographTraditional"/>
      <w:lvlText w:val="%2、"/>
      <w:lvlJc w:val="left"/>
      <w:pPr>
        <w:ind w:left="1360" w:hanging="480"/>
      </w:pPr>
    </w:lvl>
    <w:lvl w:ilvl="2" w:tplc="0409001B" w:tentative="1">
      <w:start w:val="1"/>
      <w:numFmt w:val="lowerRoman"/>
      <w:lvlText w:val="%3."/>
      <w:lvlJc w:val="right"/>
      <w:pPr>
        <w:ind w:left="1840" w:hanging="480"/>
      </w:pPr>
    </w:lvl>
    <w:lvl w:ilvl="3" w:tplc="0409000F" w:tentative="1">
      <w:start w:val="1"/>
      <w:numFmt w:val="decimal"/>
      <w:lvlText w:val="%4."/>
      <w:lvlJc w:val="left"/>
      <w:pPr>
        <w:ind w:left="2320" w:hanging="480"/>
      </w:pPr>
    </w:lvl>
    <w:lvl w:ilvl="4" w:tplc="04090019" w:tentative="1">
      <w:start w:val="1"/>
      <w:numFmt w:val="ideographTraditional"/>
      <w:lvlText w:val="%5、"/>
      <w:lvlJc w:val="left"/>
      <w:pPr>
        <w:ind w:left="2800" w:hanging="480"/>
      </w:pPr>
    </w:lvl>
    <w:lvl w:ilvl="5" w:tplc="0409001B" w:tentative="1">
      <w:start w:val="1"/>
      <w:numFmt w:val="lowerRoman"/>
      <w:lvlText w:val="%6."/>
      <w:lvlJc w:val="right"/>
      <w:pPr>
        <w:ind w:left="3280" w:hanging="480"/>
      </w:pPr>
    </w:lvl>
    <w:lvl w:ilvl="6" w:tplc="0409000F" w:tentative="1">
      <w:start w:val="1"/>
      <w:numFmt w:val="decimal"/>
      <w:lvlText w:val="%7."/>
      <w:lvlJc w:val="left"/>
      <w:pPr>
        <w:ind w:left="3760" w:hanging="480"/>
      </w:pPr>
    </w:lvl>
    <w:lvl w:ilvl="7" w:tplc="04090019" w:tentative="1">
      <w:start w:val="1"/>
      <w:numFmt w:val="ideographTraditional"/>
      <w:lvlText w:val="%8、"/>
      <w:lvlJc w:val="left"/>
      <w:pPr>
        <w:ind w:left="4240" w:hanging="480"/>
      </w:pPr>
    </w:lvl>
    <w:lvl w:ilvl="8" w:tplc="0409001B" w:tentative="1">
      <w:start w:val="1"/>
      <w:numFmt w:val="lowerRoman"/>
      <w:lvlText w:val="%9."/>
      <w:lvlJc w:val="right"/>
      <w:pPr>
        <w:ind w:left="4720" w:hanging="480"/>
      </w:pPr>
    </w:lvl>
  </w:abstractNum>
  <w:abstractNum w:abstractNumId="11" w15:restartNumberingAfterBreak="0">
    <w:nsid w:val="0CF9628D"/>
    <w:multiLevelType w:val="hybridMultilevel"/>
    <w:tmpl w:val="D62C0A1C"/>
    <w:lvl w:ilvl="0" w:tplc="04090015">
      <w:start w:val="1"/>
      <w:numFmt w:val="taiwaneseCountingThousand"/>
      <w:lvlText w:val="%1、"/>
      <w:lvlJc w:val="left"/>
      <w:pPr>
        <w:ind w:left="880" w:hanging="480"/>
      </w:pPr>
    </w:lvl>
    <w:lvl w:ilvl="1" w:tplc="04090019" w:tentative="1">
      <w:start w:val="1"/>
      <w:numFmt w:val="ideographTraditional"/>
      <w:lvlText w:val="%2、"/>
      <w:lvlJc w:val="left"/>
      <w:pPr>
        <w:ind w:left="1360" w:hanging="480"/>
      </w:pPr>
    </w:lvl>
    <w:lvl w:ilvl="2" w:tplc="0409001B" w:tentative="1">
      <w:start w:val="1"/>
      <w:numFmt w:val="lowerRoman"/>
      <w:lvlText w:val="%3."/>
      <w:lvlJc w:val="right"/>
      <w:pPr>
        <w:ind w:left="1840" w:hanging="480"/>
      </w:pPr>
    </w:lvl>
    <w:lvl w:ilvl="3" w:tplc="0409000F" w:tentative="1">
      <w:start w:val="1"/>
      <w:numFmt w:val="decimal"/>
      <w:lvlText w:val="%4."/>
      <w:lvlJc w:val="left"/>
      <w:pPr>
        <w:ind w:left="2320" w:hanging="480"/>
      </w:pPr>
    </w:lvl>
    <w:lvl w:ilvl="4" w:tplc="04090019" w:tentative="1">
      <w:start w:val="1"/>
      <w:numFmt w:val="ideographTraditional"/>
      <w:lvlText w:val="%5、"/>
      <w:lvlJc w:val="left"/>
      <w:pPr>
        <w:ind w:left="2800" w:hanging="480"/>
      </w:pPr>
    </w:lvl>
    <w:lvl w:ilvl="5" w:tplc="0409001B" w:tentative="1">
      <w:start w:val="1"/>
      <w:numFmt w:val="lowerRoman"/>
      <w:lvlText w:val="%6."/>
      <w:lvlJc w:val="right"/>
      <w:pPr>
        <w:ind w:left="3280" w:hanging="480"/>
      </w:pPr>
    </w:lvl>
    <w:lvl w:ilvl="6" w:tplc="0409000F" w:tentative="1">
      <w:start w:val="1"/>
      <w:numFmt w:val="decimal"/>
      <w:lvlText w:val="%7."/>
      <w:lvlJc w:val="left"/>
      <w:pPr>
        <w:ind w:left="3760" w:hanging="480"/>
      </w:pPr>
    </w:lvl>
    <w:lvl w:ilvl="7" w:tplc="04090019" w:tentative="1">
      <w:start w:val="1"/>
      <w:numFmt w:val="ideographTraditional"/>
      <w:lvlText w:val="%8、"/>
      <w:lvlJc w:val="left"/>
      <w:pPr>
        <w:ind w:left="4240" w:hanging="480"/>
      </w:pPr>
    </w:lvl>
    <w:lvl w:ilvl="8" w:tplc="0409001B" w:tentative="1">
      <w:start w:val="1"/>
      <w:numFmt w:val="lowerRoman"/>
      <w:lvlText w:val="%9."/>
      <w:lvlJc w:val="right"/>
      <w:pPr>
        <w:ind w:left="4720" w:hanging="480"/>
      </w:pPr>
    </w:lvl>
  </w:abstractNum>
  <w:abstractNum w:abstractNumId="12" w15:restartNumberingAfterBreak="0">
    <w:nsid w:val="0E8A7A62"/>
    <w:multiLevelType w:val="hybridMultilevel"/>
    <w:tmpl w:val="A00A09E4"/>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0EC422FC"/>
    <w:multiLevelType w:val="hybridMultilevel"/>
    <w:tmpl w:val="9B84B78C"/>
    <w:lvl w:ilvl="0" w:tplc="9BE2B404">
      <w:start w:val="1"/>
      <w:numFmt w:val="decimal"/>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0F5B51E4"/>
    <w:multiLevelType w:val="hybridMultilevel"/>
    <w:tmpl w:val="4210B016"/>
    <w:lvl w:ilvl="0" w:tplc="04090015">
      <w:start w:val="1"/>
      <w:numFmt w:val="taiwaneseCountingThousand"/>
      <w:lvlText w:val="%1、"/>
      <w:lvlJc w:val="left"/>
      <w:pPr>
        <w:ind w:left="880" w:hanging="480"/>
      </w:pPr>
    </w:lvl>
    <w:lvl w:ilvl="1" w:tplc="04090019" w:tentative="1">
      <w:start w:val="1"/>
      <w:numFmt w:val="ideographTraditional"/>
      <w:lvlText w:val="%2、"/>
      <w:lvlJc w:val="left"/>
      <w:pPr>
        <w:ind w:left="1360" w:hanging="480"/>
      </w:pPr>
    </w:lvl>
    <w:lvl w:ilvl="2" w:tplc="0409001B" w:tentative="1">
      <w:start w:val="1"/>
      <w:numFmt w:val="lowerRoman"/>
      <w:lvlText w:val="%3."/>
      <w:lvlJc w:val="right"/>
      <w:pPr>
        <w:ind w:left="1840" w:hanging="480"/>
      </w:pPr>
    </w:lvl>
    <w:lvl w:ilvl="3" w:tplc="0409000F" w:tentative="1">
      <w:start w:val="1"/>
      <w:numFmt w:val="decimal"/>
      <w:lvlText w:val="%4."/>
      <w:lvlJc w:val="left"/>
      <w:pPr>
        <w:ind w:left="2320" w:hanging="480"/>
      </w:pPr>
    </w:lvl>
    <w:lvl w:ilvl="4" w:tplc="04090019" w:tentative="1">
      <w:start w:val="1"/>
      <w:numFmt w:val="ideographTraditional"/>
      <w:lvlText w:val="%5、"/>
      <w:lvlJc w:val="left"/>
      <w:pPr>
        <w:ind w:left="2800" w:hanging="480"/>
      </w:pPr>
    </w:lvl>
    <w:lvl w:ilvl="5" w:tplc="0409001B" w:tentative="1">
      <w:start w:val="1"/>
      <w:numFmt w:val="lowerRoman"/>
      <w:lvlText w:val="%6."/>
      <w:lvlJc w:val="right"/>
      <w:pPr>
        <w:ind w:left="3280" w:hanging="480"/>
      </w:pPr>
    </w:lvl>
    <w:lvl w:ilvl="6" w:tplc="0409000F" w:tentative="1">
      <w:start w:val="1"/>
      <w:numFmt w:val="decimal"/>
      <w:lvlText w:val="%7."/>
      <w:lvlJc w:val="left"/>
      <w:pPr>
        <w:ind w:left="3760" w:hanging="480"/>
      </w:pPr>
    </w:lvl>
    <w:lvl w:ilvl="7" w:tplc="04090019" w:tentative="1">
      <w:start w:val="1"/>
      <w:numFmt w:val="ideographTraditional"/>
      <w:lvlText w:val="%8、"/>
      <w:lvlJc w:val="left"/>
      <w:pPr>
        <w:ind w:left="4240" w:hanging="480"/>
      </w:pPr>
    </w:lvl>
    <w:lvl w:ilvl="8" w:tplc="0409001B" w:tentative="1">
      <w:start w:val="1"/>
      <w:numFmt w:val="lowerRoman"/>
      <w:lvlText w:val="%9."/>
      <w:lvlJc w:val="right"/>
      <w:pPr>
        <w:ind w:left="4720" w:hanging="480"/>
      </w:pPr>
    </w:lvl>
  </w:abstractNum>
  <w:abstractNum w:abstractNumId="15" w15:restartNumberingAfterBreak="0">
    <w:nsid w:val="17C756EC"/>
    <w:multiLevelType w:val="hybridMultilevel"/>
    <w:tmpl w:val="DFB0162C"/>
    <w:lvl w:ilvl="0" w:tplc="0409000F">
      <w:start w:val="1"/>
      <w:numFmt w:val="decimal"/>
      <w:lvlText w:val="%1."/>
      <w:lvlJc w:val="left"/>
      <w:pPr>
        <w:ind w:left="966" w:hanging="480"/>
      </w:pPr>
    </w:lvl>
    <w:lvl w:ilvl="1" w:tplc="04090019" w:tentative="1">
      <w:start w:val="1"/>
      <w:numFmt w:val="ideographTraditional"/>
      <w:lvlText w:val="%2、"/>
      <w:lvlJc w:val="left"/>
      <w:pPr>
        <w:ind w:left="1446" w:hanging="480"/>
      </w:pPr>
    </w:lvl>
    <w:lvl w:ilvl="2" w:tplc="0409001B" w:tentative="1">
      <w:start w:val="1"/>
      <w:numFmt w:val="lowerRoman"/>
      <w:lvlText w:val="%3."/>
      <w:lvlJc w:val="right"/>
      <w:pPr>
        <w:ind w:left="1926" w:hanging="480"/>
      </w:pPr>
    </w:lvl>
    <w:lvl w:ilvl="3" w:tplc="0409000F" w:tentative="1">
      <w:start w:val="1"/>
      <w:numFmt w:val="decimal"/>
      <w:lvlText w:val="%4."/>
      <w:lvlJc w:val="left"/>
      <w:pPr>
        <w:ind w:left="2406" w:hanging="480"/>
      </w:pPr>
    </w:lvl>
    <w:lvl w:ilvl="4" w:tplc="04090019" w:tentative="1">
      <w:start w:val="1"/>
      <w:numFmt w:val="ideographTraditional"/>
      <w:lvlText w:val="%5、"/>
      <w:lvlJc w:val="left"/>
      <w:pPr>
        <w:ind w:left="2886" w:hanging="480"/>
      </w:pPr>
    </w:lvl>
    <w:lvl w:ilvl="5" w:tplc="0409001B" w:tentative="1">
      <w:start w:val="1"/>
      <w:numFmt w:val="lowerRoman"/>
      <w:lvlText w:val="%6."/>
      <w:lvlJc w:val="right"/>
      <w:pPr>
        <w:ind w:left="3366" w:hanging="480"/>
      </w:pPr>
    </w:lvl>
    <w:lvl w:ilvl="6" w:tplc="0409000F" w:tentative="1">
      <w:start w:val="1"/>
      <w:numFmt w:val="decimal"/>
      <w:lvlText w:val="%7."/>
      <w:lvlJc w:val="left"/>
      <w:pPr>
        <w:ind w:left="3846" w:hanging="480"/>
      </w:pPr>
    </w:lvl>
    <w:lvl w:ilvl="7" w:tplc="04090019" w:tentative="1">
      <w:start w:val="1"/>
      <w:numFmt w:val="ideographTraditional"/>
      <w:lvlText w:val="%8、"/>
      <w:lvlJc w:val="left"/>
      <w:pPr>
        <w:ind w:left="4326" w:hanging="480"/>
      </w:pPr>
    </w:lvl>
    <w:lvl w:ilvl="8" w:tplc="0409001B" w:tentative="1">
      <w:start w:val="1"/>
      <w:numFmt w:val="lowerRoman"/>
      <w:lvlText w:val="%9."/>
      <w:lvlJc w:val="right"/>
      <w:pPr>
        <w:ind w:left="4806" w:hanging="480"/>
      </w:pPr>
    </w:lvl>
  </w:abstractNum>
  <w:abstractNum w:abstractNumId="16" w15:restartNumberingAfterBreak="0">
    <w:nsid w:val="1B861050"/>
    <w:multiLevelType w:val="hybridMultilevel"/>
    <w:tmpl w:val="04E29A7E"/>
    <w:lvl w:ilvl="0" w:tplc="04090015">
      <w:start w:val="1"/>
      <w:numFmt w:val="taiwaneseCountingThousand"/>
      <w:lvlText w:val="%1、"/>
      <w:lvlJc w:val="left"/>
      <w:pPr>
        <w:ind w:left="880" w:hanging="480"/>
      </w:pPr>
    </w:lvl>
    <w:lvl w:ilvl="1" w:tplc="04090019" w:tentative="1">
      <w:start w:val="1"/>
      <w:numFmt w:val="ideographTraditional"/>
      <w:lvlText w:val="%2、"/>
      <w:lvlJc w:val="left"/>
      <w:pPr>
        <w:ind w:left="1360" w:hanging="480"/>
      </w:pPr>
    </w:lvl>
    <w:lvl w:ilvl="2" w:tplc="0409001B" w:tentative="1">
      <w:start w:val="1"/>
      <w:numFmt w:val="lowerRoman"/>
      <w:lvlText w:val="%3."/>
      <w:lvlJc w:val="right"/>
      <w:pPr>
        <w:ind w:left="1840" w:hanging="480"/>
      </w:pPr>
    </w:lvl>
    <w:lvl w:ilvl="3" w:tplc="0409000F" w:tentative="1">
      <w:start w:val="1"/>
      <w:numFmt w:val="decimal"/>
      <w:lvlText w:val="%4."/>
      <w:lvlJc w:val="left"/>
      <w:pPr>
        <w:ind w:left="2320" w:hanging="480"/>
      </w:pPr>
    </w:lvl>
    <w:lvl w:ilvl="4" w:tplc="04090019" w:tentative="1">
      <w:start w:val="1"/>
      <w:numFmt w:val="ideographTraditional"/>
      <w:lvlText w:val="%5、"/>
      <w:lvlJc w:val="left"/>
      <w:pPr>
        <w:ind w:left="2800" w:hanging="480"/>
      </w:pPr>
    </w:lvl>
    <w:lvl w:ilvl="5" w:tplc="0409001B" w:tentative="1">
      <w:start w:val="1"/>
      <w:numFmt w:val="lowerRoman"/>
      <w:lvlText w:val="%6."/>
      <w:lvlJc w:val="right"/>
      <w:pPr>
        <w:ind w:left="3280" w:hanging="480"/>
      </w:pPr>
    </w:lvl>
    <w:lvl w:ilvl="6" w:tplc="0409000F" w:tentative="1">
      <w:start w:val="1"/>
      <w:numFmt w:val="decimal"/>
      <w:lvlText w:val="%7."/>
      <w:lvlJc w:val="left"/>
      <w:pPr>
        <w:ind w:left="3760" w:hanging="480"/>
      </w:pPr>
    </w:lvl>
    <w:lvl w:ilvl="7" w:tplc="04090019" w:tentative="1">
      <w:start w:val="1"/>
      <w:numFmt w:val="ideographTraditional"/>
      <w:lvlText w:val="%8、"/>
      <w:lvlJc w:val="left"/>
      <w:pPr>
        <w:ind w:left="4240" w:hanging="480"/>
      </w:pPr>
    </w:lvl>
    <w:lvl w:ilvl="8" w:tplc="0409001B" w:tentative="1">
      <w:start w:val="1"/>
      <w:numFmt w:val="lowerRoman"/>
      <w:lvlText w:val="%9."/>
      <w:lvlJc w:val="right"/>
      <w:pPr>
        <w:ind w:left="4720" w:hanging="480"/>
      </w:pPr>
    </w:lvl>
  </w:abstractNum>
  <w:abstractNum w:abstractNumId="17" w15:restartNumberingAfterBreak="0">
    <w:nsid w:val="1BC21942"/>
    <w:multiLevelType w:val="hybridMultilevel"/>
    <w:tmpl w:val="6B38AF6A"/>
    <w:lvl w:ilvl="0" w:tplc="04090015">
      <w:start w:val="1"/>
      <w:numFmt w:val="taiwaneseCountingThousand"/>
      <w:lvlText w:val="%1、"/>
      <w:lvlJc w:val="left"/>
      <w:pPr>
        <w:ind w:left="880" w:hanging="480"/>
      </w:pPr>
    </w:lvl>
    <w:lvl w:ilvl="1" w:tplc="04090019" w:tentative="1">
      <w:start w:val="1"/>
      <w:numFmt w:val="ideographTraditional"/>
      <w:lvlText w:val="%2、"/>
      <w:lvlJc w:val="left"/>
      <w:pPr>
        <w:ind w:left="1360" w:hanging="480"/>
      </w:pPr>
    </w:lvl>
    <w:lvl w:ilvl="2" w:tplc="0409001B" w:tentative="1">
      <w:start w:val="1"/>
      <w:numFmt w:val="lowerRoman"/>
      <w:lvlText w:val="%3."/>
      <w:lvlJc w:val="right"/>
      <w:pPr>
        <w:ind w:left="1840" w:hanging="480"/>
      </w:pPr>
    </w:lvl>
    <w:lvl w:ilvl="3" w:tplc="0409000F" w:tentative="1">
      <w:start w:val="1"/>
      <w:numFmt w:val="decimal"/>
      <w:lvlText w:val="%4."/>
      <w:lvlJc w:val="left"/>
      <w:pPr>
        <w:ind w:left="2320" w:hanging="480"/>
      </w:pPr>
    </w:lvl>
    <w:lvl w:ilvl="4" w:tplc="04090019" w:tentative="1">
      <w:start w:val="1"/>
      <w:numFmt w:val="ideographTraditional"/>
      <w:lvlText w:val="%5、"/>
      <w:lvlJc w:val="left"/>
      <w:pPr>
        <w:ind w:left="2800" w:hanging="480"/>
      </w:pPr>
    </w:lvl>
    <w:lvl w:ilvl="5" w:tplc="0409001B" w:tentative="1">
      <w:start w:val="1"/>
      <w:numFmt w:val="lowerRoman"/>
      <w:lvlText w:val="%6."/>
      <w:lvlJc w:val="right"/>
      <w:pPr>
        <w:ind w:left="3280" w:hanging="480"/>
      </w:pPr>
    </w:lvl>
    <w:lvl w:ilvl="6" w:tplc="0409000F" w:tentative="1">
      <w:start w:val="1"/>
      <w:numFmt w:val="decimal"/>
      <w:lvlText w:val="%7."/>
      <w:lvlJc w:val="left"/>
      <w:pPr>
        <w:ind w:left="3760" w:hanging="480"/>
      </w:pPr>
    </w:lvl>
    <w:lvl w:ilvl="7" w:tplc="04090019" w:tentative="1">
      <w:start w:val="1"/>
      <w:numFmt w:val="ideographTraditional"/>
      <w:lvlText w:val="%8、"/>
      <w:lvlJc w:val="left"/>
      <w:pPr>
        <w:ind w:left="4240" w:hanging="480"/>
      </w:pPr>
    </w:lvl>
    <w:lvl w:ilvl="8" w:tplc="0409001B" w:tentative="1">
      <w:start w:val="1"/>
      <w:numFmt w:val="lowerRoman"/>
      <w:lvlText w:val="%9."/>
      <w:lvlJc w:val="right"/>
      <w:pPr>
        <w:ind w:left="4720" w:hanging="480"/>
      </w:pPr>
    </w:lvl>
  </w:abstractNum>
  <w:abstractNum w:abstractNumId="18" w15:restartNumberingAfterBreak="0">
    <w:nsid w:val="1DF57FC1"/>
    <w:multiLevelType w:val="hybridMultilevel"/>
    <w:tmpl w:val="D93C9678"/>
    <w:lvl w:ilvl="0" w:tplc="04090015">
      <w:start w:val="1"/>
      <w:numFmt w:val="taiwaneseCountingThousand"/>
      <w:lvlText w:val="%1、"/>
      <w:lvlJc w:val="left"/>
      <w:pPr>
        <w:ind w:left="880" w:hanging="480"/>
      </w:pPr>
    </w:lvl>
    <w:lvl w:ilvl="1" w:tplc="04090019" w:tentative="1">
      <w:start w:val="1"/>
      <w:numFmt w:val="ideographTraditional"/>
      <w:lvlText w:val="%2、"/>
      <w:lvlJc w:val="left"/>
      <w:pPr>
        <w:ind w:left="1360" w:hanging="480"/>
      </w:pPr>
    </w:lvl>
    <w:lvl w:ilvl="2" w:tplc="0409001B" w:tentative="1">
      <w:start w:val="1"/>
      <w:numFmt w:val="lowerRoman"/>
      <w:lvlText w:val="%3."/>
      <w:lvlJc w:val="right"/>
      <w:pPr>
        <w:ind w:left="1840" w:hanging="480"/>
      </w:pPr>
    </w:lvl>
    <w:lvl w:ilvl="3" w:tplc="0409000F" w:tentative="1">
      <w:start w:val="1"/>
      <w:numFmt w:val="decimal"/>
      <w:lvlText w:val="%4."/>
      <w:lvlJc w:val="left"/>
      <w:pPr>
        <w:ind w:left="2320" w:hanging="480"/>
      </w:pPr>
    </w:lvl>
    <w:lvl w:ilvl="4" w:tplc="04090019" w:tentative="1">
      <w:start w:val="1"/>
      <w:numFmt w:val="ideographTraditional"/>
      <w:lvlText w:val="%5、"/>
      <w:lvlJc w:val="left"/>
      <w:pPr>
        <w:ind w:left="2800" w:hanging="480"/>
      </w:pPr>
    </w:lvl>
    <w:lvl w:ilvl="5" w:tplc="0409001B" w:tentative="1">
      <w:start w:val="1"/>
      <w:numFmt w:val="lowerRoman"/>
      <w:lvlText w:val="%6."/>
      <w:lvlJc w:val="right"/>
      <w:pPr>
        <w:ind w:left="3280" w:hanging="480"/>
      </w:pPr>
    </w:lvl>
    <w:lvl w:ilvl="6" w:tplc="0409000F" w:tentative="1">
      <w:start w:val="1"/>
      <w:numFmt w:val="decimal"/>
      <w:lvlText w:val="%7."/>
      <w:lvlJc w:val="left"/>
      <w:pPr>
        <w:ind w:left="3760" w:hanging="480"/>
      </w:pPr>
    </w:lvl>
    <w:lvl w:ilvl="7" w:tplc="04090019" w:tentative="1">
      <w:start w:val="1"/>
      <w:numFmt w:val="ideographTraditional"/>
      <w:lvlText w:val="%8、"/>
      <w:lvlJc w:val="left"/>
      <w:pPr>
        <w:ind w:left="4240" w:hanging="480"/>
      </w:pPr>
    </w:lvl>
    <w:lvl w:ilvl="8" w:tplc="0409001B" w:tentative="1">
      <w:start w:val="1"/>
      <w:numFmt w:val="lowerRoman"/>
      <w:lvlText w:val="%9."/>
      <w:lvlJc w:val="right"/>
      <w:pPr>
        <w:ind w:left="4720" w:hanging="480"/>
      </w:pPr>
    </w:lvl>
  </w:abstractNum>
  <w:abstractNum w:abstractNumId="19" w15:restartNumberingAfterBreak="0">
    <w:nsid w:val="27E53A4D"/>
    <w:multiLevelType w:val="hybridMultilevel"/>
    <w:tmpl w:val="B3B22F8C"/>
    <w:lvl w:ilvl="0" w:tplc="04090015">
      <w:start w:val="1"/>
      <w:numFmt w:val="taiwaneseCountingThousand"/>
      <w:lvlText w:val="%1、"/>
      <w:lvlJc w:val="left"/>
      <w:pPr>
        <w:ind w:left="880" w:hanging="480"/>
      </w:pPr>
    </w:lvl>
    <w:lvl w:ilvl="1" w:tplc="04090019" w:tentative="1">
      <w:start w:val="1"/>
      <w:numFmt w:val="ideographTraditional"/>
      <w:lvlText w:val="%2、"/>
      <w:lvlJc w:val="left"/>
      <w:pPr>
        <w:ind w:left="1360" w:hanging="480"/>
      </w:pPr>
    </w:lvl>
    <w:lvl w:ilvl="2" w:tplc="0409001B" w:tentative="1">
      <w:start w:val="1"/>
      <w:numFmt w:val="lowerRoman"/>
      <w:lvlText w:val="%3."/>
      <w:lvlJc w:val="right"/>
      <w:pPr>
        <w:ind w:left="1840" w:hanging="480"/>
      </w:pPr>
    </w:lvl>
    <w:lvl w:ilvl="3" w:tplc="0409000F" w:tentative="1">
      <w:start w:val="1"/>
      <w:numFmt w:val="decimal"/>
      <w:lvlText w:val="%4."/>
      <w:lvlJc w:val="left"/>
      <w:pPr>
        <w:ind w:left="2320" w:hanging="480"/>
      </w:pPr>
    </w:lvl>
    <w:lvl w:ilvl="4" w:tplc="04090019" w:tentative="1">
      <w:start w:val="1"/>
      <w:numFmt w:val="ideographTraditional"/>
      <w:lvlText w:val="%5、"/>
      <w:lvlJc w:val="left"/>
      <w:pPr>
        <w:ind w:left="2800" w:hanging="480"/>
      </w:pPr>
    </w:lvl>
    <w:lvl w:ilvl="5" w:tplc="0409001B" w:tentative="1">
      <w:start w:val="1"/>
      <w:numFmt w:val="lowerRoman"/>
      <w:lvlText w:val="%6."/>
      <w:lvlJc w:val="right"/>
      <w:pPr>
        <w:ind w:left="3280" w:hanging="480"/>
      </w:pPr>
    </w:lvl>
    <w:lvl w:ilvl="6" w:tplc="0409000F" w:tentative="1">
      <w:start w:val="1"/>
      <w:numFmt w:val="decimal"/>
      <w:lvlText w:val="%7."/>
      <w:lvlJc w:val="left"/>
      <w:pPr>
        <w:ind w:left="3760" w:hanging="480"/>
      </w:pPr>
    </w:lvl>
    <w:lvl w:ilvl="7" w:tplc="04090019" w:tentative="1">
      <w:start w:val="1"/>
      <w:numFmt w:val="ideographTraditional"/>
      <w:lvlText w:val="%8、"/>
      <w:lvlJc w:val="left"/>
      <w:pPr>
        <w:ind w:left="4240" w:hanging="480"/>
      </w:pPr>
    </w:lvl>
    <w:lvl w:ilvl="8" w:tplc="0409001B" w:tentative="1">
      <w:start w:val="1"/>
      <w:numFmt w:val="lowerRoman"/>
      <w:lvlText w:val="%9."/>
      <w:lvlJc w:val="right"/>
      <w:pPr>
        <w:ind w:left="4720" w:hanging="480"/>
      </w:pPr>
    </w:lvl>
  </w:abstractNum>
  <w:abstractNum w:abstractNumId="20" w15:restartNumberingAfterBreak="0">
    <w:nsid w:val="2C2002B1"/>
    <w:multiLevelType w:val="hybridMultilevel"/>
    <w:tmpl w:val="886613CA"/>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303E65E6"/>
    <w:multiLevelType w:val="hybridMultilevel"/>
    <w:tmpl w:val="FCF601A2"/>
    <w:lvl w:ilvl="0" w:tplc="390CE124">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312B75D6"/>
    <w:multiLevelType w:val="hybridMultilevel"/>
    <w:tmpl w:val="28E07216"/>
    <w:lvl w:ilvl="0" w:tplc="B1EACE2C">
      <w:start w:val="1"/>
      <w:numFmt w:val="decimal"/>
      <w:pStyle w:val="a"/>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3" w15:restartNumberingAfterBreak="0">
    <w:nsid w:val="380D193B"/>
    <w:multiLevelType w:val="hybridMultilevel"/>
    <w:tmpl w:val="5E5A323A"/>
    <w:lvl w:ilvl="0" w:tplc="0409000F">
      <w:start w:val="1"/>
      <w:numFmt w:val="decimal"/>
      <w:lvlText w:val="%1."/>
      <w:lvlJc w:val="left"/>
      <w:pPr>
        <w:ind w:left="880" w:hanging="480"/>
      </w:pPr>
    </w:lvl>
    <w:lvl w:ilvl="1" w:tplc="04090019" w:tentative="1">
      <w:start w:val="1"/>
      <w:numFmt w:val="ideographTraditional"/>
      <w:lvlText w:val="%2、"/>
      <w:lvlJc w:val="left"/>
      <w:pPr>
        <w:ind w:left="1360" w:hanging="480"/>
      </w:pPr>
    </w:lvl>
    <w:lvl w:ilvl="2" w:tplc="0409001B" w:tentative="1">
      <w:start w:val="1"/>
      <w:numFmt w:val="lowerRoman"/>
      <w:lvlText w:val="%3."/>
      <w:lvlJc w:val="right"/>
      <w:pPr>
        <w:ind w:left="1840" w:hanging="480"/>
      </w:pPr>
    </w:lvl>
    <w:lvl w:ilvl="3" w:tplc="0409000F" w:tentative="1">
      <w:start w:val="1"/>
      <w:numFmt w:val="decimal"/>
      <w:lvlText w:val="%4."/>
      <w:lvlJc w:val="left"/>
      <w:pPr>
        <w:ind w:left="2320" w:hanging="480"/>
      </w:pPr>
    </w:lvl>
    <w:lvl w:ilvl="4" w:tplc="04090019" w:tentative="1">
      <w:start w:val="1"/>
      <w:numFmt w:val="ideographTraditional"/>
      <w:lvlText w:val="%5、"/>
      <w:lvlJc w:val="left"/>
      <w:pPr>
        <w:ind w:left="2800" w:hanging="480"/>
      </w:pPr>
    </w:lvl>
    <w:lvl w:ilvl="5" w:tplc="0409001B" w:tentative="1">
      <w:start w:val="1"/>
      <w:numFmt w:val="lowerRoman"/>
      <w:lvlText w:val="%6."/>
      <w:lvlJc w:val="right"/>
      <w:pPr>
        <w:ind w:left="3280" w:hanging="480"/>
      </w:pPr>
    </w:lvl>
    <w:lvl w:ilvl="6" w:tplc="0409000F" w:tentative="1">
      <w:start w:val="1"/>
      <w:numFmt w:val="decimal"/>
      <w:lvlText w:val="%7."/>
      <w:lvlJc w:val="left"/>
      <w:pPr>
        <w:ind w:left="3760" w:hanging="480"/>
      </w:pPr>
    </w:lvl>
    <w:lvl w:ilvl="7" w:tplc="04090019" w:tentative="1">
      <w:start w:val="1"/>
      <w:numFmt w:val="ideographTraditional"/>
      <w:lvlText w:val="%8、"/>
      <w:lvlJc w:val="left"/>
      <w:pPr>
        <w:ind w:left="4240" w:hanging="480"/>
      </w:pPr>
    </w:lvl>
    <w:lvl w:ilvl="8" w:tplc="0409001B" w:tentative="1">
      <w:start w:val="1"/>
      <w:numFmt w:val="lowerRoman"/>
      <w:lvlText w:val="%9."/>
      <w:lvlJc w:val="right"/>
      <w:pPr>
        <w:ind w:left="4720" w:hanging="480"/>
      </w:pPr>
    </w:lvl>
  </w:abstractNum>
  <w:abstractNum w:abstractNumId="24" w15:restartNumberingAfterBreak="0">
    <w:nsid w:val="38BD61EB"/>
    <w:multiLevelType w:val="hybridMultilevel"/>
    <w:tmpl w:val="CDDAB702"/>
    <w:lvl w:ilvl="0" w:tplc="0409000F">
      <w:start w:val="1"/>
      <w:numFmt w:val="decimal"/>
      <w:lvlText w:val="%1."/>
      <w:lvlJc w:val="left"/>
      <w:pPr>
        <w:ind w:left="880" w:hanging="480"/>
      </w:pPr>
    </w:lvl>
    <w:lvl w:ilvl="1" w:tplc="04090019" w:tentative="1">
      <w:start w:val="1"/>
      <w:numFmt w:val="ideographTraditional"/>
      <w:lvlText w:val="%2、"/>
      <w:lvlJc w:val="left"/>
      <w:pPr>
        <w:ind w:left="1360" w:hanging="480"/>
      </w:pPr>
    </w:lvl>
    <w:lvl w:ilvl="2" w:tplc="0409001B" w:tentative="1">
      <w:start w:val="1"/>
      <w:numFmt w:val="lowerRoman"/>
      <w:lvlText w:val="%3."/>
      <w:lvlJc w:val="right"/>
      <w:pPr>
        <w:ind w:left="1840" w:hanging="480"/>
      </w:pPr>
    </w:lvl>
    <w:lvl w:ilvl="3" w:tplc="0409000F" w:tentative="1">
      <w:start w:val="1"/>
      <w:numFmt w:val="decimal"/>
      <w:lvlText w:val="%4."/>
      <w:lvlJc w:val="left"/>
      <w:pPr>
        <w:ind w:left="2320" w:hanging="480"/>
      </w:pPr>
    </w:lvl>
    <w:lvl w:ilvl="4" w:tplc="04090019" w:tentative="1">
      <w:start w:val="1"/>
      <w:numFmt w:val="ideographTraditional"/>
      <w:lvlText w:val="%5、"/>
      <w:lvlJc w:val="left"/>
      <w:pPr>
        <w:ind w:left="2800" w:hanging="480"/>
      </w:pPr>
    </w:lvl>
    <w:lvl w:ilvl="5" w:tplc="0409001B" w:tentative="1">
      <w:start w:val="1"/>
      <w:numFmt w:val="lowerRoman"/>
      <w:lvlText w:val="%6."/>
      <w:lvlJc w:val="right"/>
      <w:pPr>
        <w:ind w:left="3280" w:hanging="480"/>
      </w:pPr>
    </w:lvl>
    <w:lvl w:ilvl="6" w:tplc="0409000F" w:tentative="1">
      <w:start w:val="1"/>
      <w:numFmt w:val="decimal"/>
      <w:lvlText w:val="%7."/>
      <w:lvlJc w:val="left"/>
      <w:pPr>
        <w:ind w:left="3760" w:hanging="480"/>
      </w:pPr>
    </w:lvl>
    <w:lvl w:ilvl="7" w:tplc="04090019" w:tentative="1">
      <w:start w:val="1"/>
      <w:numFmt w:val="ideographTraditional"/>
      <w:lvlText w:val="%8、"/>
      <w:lvlJc w:val="left"/>
      <w:pPr>
        <w:ind w:left="4240" w:hanging="480"/>
      </w:pPr>
    </w:lvl>
    <w:lvl w:ilvl="8" w:tplc="0409001B" w:tentative="1">
      <w:start w:val="1"/>
      <w:numFmt w:val="lowerRoman"/>
      <w:lvlText w:val="%9."/>
      <w:lvlJc w:val="right"/>
      <w:pPr>
        <w:ind w:left="4720" w:hanging="480"/>
      </w:pPr>
    </w:lvl>
  </w:abstractNum>
  <w:abstractNum w:abstractNumId="25" w15:restartNumberingAfterBreak="0">
    <w:nsid w:val="3B8937F3"/>
    <w:multiLevelType w:val="hybridMultilevel"/>
    <w:tmpl w:val="82A22098"/>
    <w:lvl w:ilvl="0" w:tplc="D6AC071C">
      <w:start w:val="1"/>
      <w:numFmt w:val="decimal"/>
      <w:pStyle w:val="16ref"/>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41EB1220"/>
    <w:multiLevelType w:val="hybridMultilevel"/>
    <w:tmpl w:val="EA52C888"/>
    <w:lvl w:ilvl="0" w:tplc="0409000F">
      <w:start w:val="1"/>
      <w:numFmt w:val="decimal"/>
      <w:lvlText w:val="%1."/>
      <w:lvlJc w:val="left"/>
      <w:pPr>
        <w:ind w:left="880" w:hanging="480"/>
      </w:pPr>
    </w:lvl>
    <w:lvl w:ilvl="1" w:tplc="04090019" w:tentative="1">
      <w:start w:val="1"/>
      <w:numFmt w:val="ideographTraditional"/>
      <w:lvlText w:val="%2、"/>
      <w:lvlJc w:val="left"/>
      <w:pPr>
        <w:ind w:left="1360" w:hanging="480"/>
      </w:pPr>
    </w:lvl>
    <w:lvl w:ilvl="2" w:tplc="0409001B" w:tentative="1">
      <w:start w:val="1"/>
      <w:numFmt w:val="lowerRoman"/>
      <w:lvlText w:val="%3."/>
      <w:lvlJc w:val="right"/>
      <w:pPr>
        <w:ind w:left="1840" w:hanging="480"/>
      </w:pPr>
    </w:lvl>
    <w:lvl w:ilvl="3" w:tplc="0409000F" w:tentative="1">
      <w:start w:val="1"/>
      <w:numFmt w:val="decimal"/>
      <w:lvlText w:val="%4."/>
      <w:lvlJc w:val="left"/>
      <w:pPr>
        <w:ind w:left="2320" w:hanging="480"/>
      </w:pPr>
    </w:lvl>
    <w:lvl w:ilvl="4" w:tplc="04090019" w:tentative="1">
      <w:start w:val="1"/>
      <w:numFmt w:val="ideographTraditional"/>
      <w:lvlText w:val="%5、"/>
      <w:lvlJc w:val="left"/>
      <w:pPr>
        <w:ind w:left="2800" w:hanging="480"/>
      </w:pPr>
    </w:lvl>
    <w:lvl w:ilvl="5" w:tplc="0409001B" w:tentative="1">
      <w:start w:val="1"/>
      <w:numFmt w:val="lowerRoman"/>
      <w:lvlText w:val="%6."/>
      <w:lvlJc w:val="right"/>
      <w:pPr>
        <w:ind w:left="3280" w:hanging="480"/>
      </w:pPr>
    </w:lvl>
    <w:lvl w:ilvl="6" w:tplc="0409000F" w:tentative="1">
      <w:start w:val="1"/>
      <w:numFmt w:val="decimal"/>
      <w:lvlText w:val="%7."/>
      <w:lvlJc w:val="left"/>
      <w:pPr>
        <w:ind w:left="3760" w:hanging="480"/>
      </w:pPr>
    </w:lvl>
    <w:lvl w:ilvl="7" w:tplc="04090019" w:tentative="1">
      <w:start w:val="1"/>
      <w:numFmt w:val="ideographTraditional"/>
      <w:lvlText w:val="%8、"/>
      <w:lvlJc w:val="left"/>
      <w:pPr>
        <w:ind w:left="4240" w:hanging="480"/>
      </w:pPr>
    </w:lvl>
    <w:lvl w:ilvl="8" w:tplc="0409001B" w:tentative="1">
      <w:start w:val="1"/>
      <w:numFmt w:val="lowerRoman"/>
      <w:lvlText w:val="%9."/>
      <w:lvlJc w:val="right"/>
      <w:pPr>
        <w:ind w:left="4720" w:hanging="480"/>
      </w:pPr>
    </w:lvl>
  </w:abstractNum>
  <w:abstractNum w:abstractNumId="27" w15:restartNumberingAfterBreak="0">
    <w:nsid w:val="42A628EF"/>
    <w:multiLevelType w:val="hybridMultilevel"/>
    <w:tmpl w:val="2FE23C88"/>
    <w:lvl w:ilvl="0" w:tplc="0409000F">
      <w:start w:val="1"/>
      <w:numFmt w:val="decimal"/>
      <w:lvlText w:val="%1."/>
      <w:lvlJc w:val="left"/>
      <w:pPr>
        <w:ind w:left="976" w:hanging="480"/>
      </w:pPr>
    </w:lvl>
    <w:lvl w:ilvl="1" w:tplc="04090019" w:tentative="1">
      <w:start w:val="1"/>
      <w:numFmt w:val="ideographTraditional"/>
      <w:lvlText w:val="%2、"/>
      <w:lvlJc w:val="left"/>
      <w:pPr>
        <w:ind w:left="1456" w:hanging="480"/>
      </w:pPr>
    </w:lvl>
    <w:lvl w:ilvl="2" w:tplc="0409001B" w:tentative="1">
      <w:start w:val="1"/>
      <w:numFmt w:val="lowerRoman"/>
      <w:lvlText w:val="%3."/>
      <w:lvlJc w:val="right"/>
      <w:pPr>
        <w:ind w:left="1936" w:hanging="480"/>
      </w:pPr>
    </w:lvl>
    <w:lvl w:ilvl="3" w:tplc="0409000F" w:tentative="1">
      <w:start w:val="1"/>
      <w:numFmt w:val="decimal"/>
      <w:lvlText w:val="%4."/>
      <w:lvlJc w:val="left"/>
      <w:pPr>
        <w:ind w:left="2416" w:hanging="480"/>
      </w:pPr>
    </w:lvl>
    <w:lvl w:ilvl="4" w:tplc="04090019" w:tentative="1">
      <w:start w:val="1"/>
      <w:numFmt w:val="ideographTraditional"/>
      <w:lvlText w:val="%5、"/>
      <w:lvlJc w:val="left"/>
      <w:pPr>
        <w:ind w:left="2896" w:hanging="480"/>
      </w:pPr>
    </w:lvl>
    <w:lvl w:ilvl="5" w:tplc="0409001B" w:tentative="1">
      <w:start w:val="1"/>
      <w:numFmt w:val="lowerRoman"/>
      <w:lvlText w:val="%6."/>
      <w:lvlJc w:val="right"/>
      <w:pPr>
        <w:ind w:left="3376" w:hanging="480"/>
      </w:pPr>
    </w:lvl>
    <w:lvl w:ilvl="6" w:tplc="0409000F" w:tentative="1">
      <w:start w:val="1"/>
      <w:numFmt w:val="decimal"/>
      <w:lvlText w:val="%7."/>
      <w:lvlJc w:val="left"/>
      <w:pPr>
        <w:ind w:left="3856" w:hanging="480"/>
      </w:pPr>
    </w:lvl>
    <w:lvl w:ilvl="7" w:tplc="04090019" w:tentative="1">
      <w:start w:val="1"/>
      <w:numFmt w:val="ideographTraditional"/>
      <w:lvlText w:val="%8、"/>
      <w:lvlJc w:val="left"/>
      <w:pPr>
        <w:ind w:left="4336" w:hanging="480"/>
      </w:pPr>
    </w:lvl>
    <w:lvl w:ilvl="8" w:tplc="0409001B" w:tentative="1">
      <w:start w:val="1"/>
      <w:numFmt w:val="lowerRoman"/>
      <w:lvlText w:val="%9."/>
      <w:lvlJc w:val="right"/>
      <w:pPr>
        <w:ind w:left="4816" w:hanging="480"/>
      </w:pPr>
    </w:lvl>
  </w:abstractNum>
  <w:abstractNum w:abstractNumId="28" w15:restartNumberingAfterBreak="0">
    <w:nsid w:val="44C7482A"/>
    <w:multiLevelType w:val="hybridMultilevel"/>
    <w:tmpl w:val="DB421910"/>
    <w:lvl w:ilvl="0" w:tplc="04090015">
      <w:start w:val="1"/>
      <w:numFmt w:val="taiwaneseCountingThousand"/>
      <w:lvlText w:val="%1、"/>
      <w:lvlJc w:val="left"/>
      <w:pPr>
        <w:ind w:left="880" w:hanging="480"/>
      </w:pPr>
    </w:lvl>
    <w:lvl w:ilvl="1" w:tplc="04090019" w:tentative="1">
      <w:start w:val="1"/>
      <w:numFmt w:val="ideographTraditional"/>
      <w:lvlText w:val="%2、"/>
      <w:lvlJc w:val="left"/>
      <w:pPr>
        <w:ind w:left="1360" w:hanging="480"/>
      </w:pPr>
    </w:lvl>
    <w:lvl w:ilvl="2" w:tplc="0409001B" w:tentative="1">
      <w:start w:val="1"/>
      <w:numFmt w:val="lowerRoman"/>
      <w:lvlText w:val="%3."/>
      <w:lvlJc w:val="right"/>
      <w:pPr>
        <w:ind w:left="1840" w:hanging="480"/>
      </w:pPr>
    </w:lvl>
    <w:lvl w:ilvl="3" w:tplc="0409000F" w:tentative="1">
      <w:start w:val="1"/>
      <w:numFmt w:val="decimal"/>
      <w:lvlText w:val="%4."/>
      <w:lvlJc w:val="left"/>
      <w:pPr>
        <w:ind w:left="2320" w:hanging="480"/>
      </w:pPr>
    </w:lvl>
    <w:lvl w:ilvl="4" w:tplc="04090019" w:tentative="1">
      <w:start w:val="1"/>
      <w:numFmt w:val="ideographTraditional"/>
      <w:lvlText w:val="%5、"/>
      <w:lvlJc w:val="left"/>
      <w:pPr>
        <w:ind w:left="2800" w:hanging="480"/>
      </w:pPr>
    </w:lvl>
    <w:lvl w:ilvl="5" w:tplc="0409001B" w:tentative="1">
      <w:start w:val="1"/>
      <w:numFmt w:val="lowerRoman"/>
      <w:lvlText w:val="%6."/>
      <w:lvlJc w:val="right"/>
      <w:pPr>
        <w:ind w:left="3280" w:hanging="480"/>
      </w:pPr>
    </w:lvl>
    <w:lvl w:ilvl="6" w:tplc="0409000F" w:tentative="1">
      <w:start w:val="1"/>
      <w:numFmt w:val="decimal"/>
      <w:lvlText w:val="%7."/>
      <w:lvlJc w:val="left"/>
      <w:pPr>
        <w:ind w:left="3760" w:hanging="480"/>
      </w:pPr>
    </w:lvl>
    <w:lvl w:ilvl="7" w:tplc="04090019" w:tentative="1">
      <w:start w:val="1"/>
      <w:numFmt w:val="ideographTraditional"/>
      <w:lvlText w:val="%8、"/>
      <w:lvlJc w:val="left"/>
      <w:pPr>
        <w:ind w:left="4240" w:hanging="480"/>
      </w:pPr>
    </w:lvl>
    <w:lvl w:ilvl="8" w:tplc="0409001B" w:tentative="1">
      <w:start w:val="1"/>
      <w:numFmt w:val="lowerRoman"/>
      <w:lvlText w:val="%9."/>
      <w:lvlJc w:val="right"/>
      <w:pPr>
        <w:ind w:left="4720" w:hanging="480"/>
      </w:pPr>
    </w:lvl>
  </w:abstractNum>
  <w:abstractNum w:abstractNumId="29" w15:restartNumberingAfterBreak="0">
    <w:nsid w:val="48245539"/>
    <w:multiLevelType w:val="hybridMultilevel"/>
    <w:tmpl w:val="73608638"/>
    <w:lvl w:ilvl="0" w:tplc="0409000F">
      <w:start w:val="1"/>
      <w:numFmt w:val="decimal"/>
      <w:lvlText w:val="%1."/>
      <w:lvlJc w:val="left"/>
      <w:pPr>
        <w:ind w:left="880" w:hanging="480"/>
      </w:pPr>
    </w:lvl>
    <w:lvl w:ilvl="1" w:tplc="04090019" w:tentative="1">
      <w:start w:val="1"/>
      <w:numFmt w:val="ideographTraditional"/>
      <w:lvlText w:val="%2、"/>
      <w:lvlJc w:val="left"/>
      <w:pPr>
        <w:ind w:left="1360" w:hanging="480"/>
      </w:pPr>
    </w:lvl>
    <w:lvl w:ilvl="2" w:tplc="0409001B" w:tentative="1">
      <w:start w:val="1"/>
      <w:numFmt w:val="lowerRoman"/>
      <w:lvlText w:val="%3."/>
      <w:lvlJc w:val="right"/>
      <w:pPr>
        <w:ind w:left="1840" w:hanging="480"/>
      </w:pPr>
    </w:lvl>
    <w:lvl w:ilvl="3" w:tplc="0409000F" w:tentative="1">
      <w:start w:val="1"/>
      <w:numFmt w:val="decimal"/>
      <w:lvlText w:val="%4."/>
      <w:lvlJc w:val="left"/>
      <w:pPr>
        <w:ind w:left="2320" w:hanging="480"/>
      </w:pPr>
    </w:lvl>
    <w:lvl w:ilvl="4" w:tplc="04090019" w:tentative="1">
      <w:start w:val="1"/>
      <w:numFmt w:val="ideographTraditional"/>
      <w:lvlText w:val="%5、"/>
      <w:lvlJc w:val="left"/>
      <w:pPr>
        <w:ind w:left="2800" w:hanging="480"/>
      </w:pPr>
    </w:lvl>
    <w:lvl w:ilvl="5" w:tplc="0409001B" w:tentative="1">
      <w:start w:val="1"/>
      <w:numFmt w:val="lowerRoman"/>
      <w:lvlText w:val="%6."/>
      <w:lvlJc w:val="right"/>
      <w:pPr>
        <w:ind w:left="3280" w:hanging="480"/>
      </w:pPr>
    </w:lvl>
    <w:lvl w:ilvl="6" w:tplc="0409000F" w:tentative="1">
      <w:start w:val="1"/>
      <w:numFmt w:val="decimal"/>
      <w:lvlText w:val="%7."/>
      <w:lvlJc w:val="left"/>
      <w:pPr>
        <w:ind w:left="3760" w:hanging="480"/>
      </w:pPr>
    </w:lvl>
    <w:lvl w:ilvl="7" w:tplc="04090019" w:tentative="1">
      <w:start w:val="1"/>
      <w:numFmt w:val="ideographTraditional"/>
      <w:lvlText w:val="%8、"/>
      <w:lvlJc w:val="left"/>
      <w:pPr>
        <w:ind w:left="4240" w:hanging="480"/>
      </w:pPr>
    </w:lvl>
    <w:lvl w:ilvl="8" w:tplc="0409001B" w:tentative="1">
      <w:start w:val="1"/>
      <w:numFmt w:val="lowerRoman"/>
      <w:lvlText w:val="%9."/>
      <w:lvlJc w:val="right"/>
      <w:pPr>
        <w:ind w:left="4720" w:hanging="480"/>
      </w:pPr>
    </w:lvl>
  </w:abstractNum>
  <w:abstractNum w:abstractNumId="30" w15:restartNumberingAfterBreak="0">
    <w:nsid w:val="48356EFB"/>
    <w:multiLevelType w:val="hybridMultilevel"/>
    <w:tmpl w:val="A036B3C6"/>
    <w:lvl w:ilvl="0" w:tplc="390CE124">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49F34618"/>
    <w:multiLevelType w:val="hybridMultilevel"/>
    <w:tmpl w:val="5600CF8C"/>
    <w:lvl w:ilvl="0" w:tplc="04090015">
      <w:start w:val="1"/>
      <w:numFmt w:val="taiwaneseCountingThousand"/>
      <w:lvlText w:val="%1、"/>
      <w:lvlJc w:val="left"/>
      <w:pPr>
        <w:ind w:left="880" w:hanging="480"/>
      </w:pPr>
    </w:lvl>
    <w:lvl w:ilvl="1" w:tplc="04090019" w:tentative="1">
      <w:start w:val="1"/>
      <w:numFmt w:val="ideographTraditional"/>
      <w:lvlText w:val="%2、"/>
      <w:lvlJc w:val="left"/>
      <w:pPr>
        <w:ind w:left="1360" w:hanging="480"/>
      </w:pPr>
    </w:lvl>
    <w:lvl w:ilvl="2" w:tplc="0409001B" w:tentative="1">
      <w:start w:val="1"/>
      <w:numFmt w:val="lowerRoman"/>
      <w:lvlText w:val="%3."/>
      <w:lvlJc w:val="right"/>
      <w:pPr>
        <w:ind w:left="1840" w:hanging="480"/>
      </w:pPr>
    </w:lvl>
    <w:lvl w:ilvl="3" w:tplc="0409000F" w:tentative="1">
      <w:start w:val="1"/>
      <w:numFmt w:val="decimal"/>
      <w:lvlText w:val="%4."/>
      <w:lvlJc w:val="left"/>
      <w:pPr>
        <w:ind w:left="2320" w:hanging="480"/>
      </w:pPr>
    </w:lvl>
    <w:lvl w:ilvl="4" w:tplc="04090019" w:tentative="1">
      <w:start w:val="1"/>
      <w:numFmt w:val="ideographTraditional"/>
      <w:lvlText w:val="%5、"/>
      <w:lvlJc w:val="left"/>
      <w:pPr>
        <w:ind w:left="2800" w:hanging="480"/>
      </w:pPr>
    </w:lvl>
    <w:lvl w:ilvl="5" w:tplc="0409001B" w:tentative="1">
      <w:start w:val="1"/>
      <w:numFmt w:val="lowerRoman"/>
      <w:lvlText w:val="%6."/>
      <w:lvlJc w:val="right"/>
      <w:pPr>
        <w:ind w:left="3280" w:hanging="480"/>
      </w:pPr>
    </w:lvl>
    <w:lvl w:ilvl="6" w:tplc="0409000F" w:tentative="1">
      <w:start w:val="1"/>
      <w:numFmt w:val="decimal"/>
      <w:lvlText w:val="%7."/>
      <w:lvlJc w:val="left"/>
      <w:pPr>
        <w:ind w:left="3760" w:hanging="480"/>
      </w:pPr>
    </w:lvl>
    <w:lvl w:ilvl="7" w:tplc="04090019" w:tentative="1">
      <w:start w:val="1"/>
      <w:numFmt w:val="ideographTraditional"/>
      <w:lvlText w:val="%8、"/>
      <w:lvlJc w:val="left"/>
      <w:pPr>
        <w:ind w:left="4240" w:hanging="480"/>
      </w:pPr>
    </w:lvl>
    <w:lvl w:ilvl="8" w:tplc="0409001B" w:tentative="1">
      <w:start w:val="1"/>
      <w:numFmt w:val="lowerRoman"/>
      <w:lvlText w:val="%9."/>
      <w:lvlJc w:val="right"/>
      <w:pPr>
        <w:ind w:left="4720" w:hanging="480"/>
      </w:pPr>
    </w:lvl>
  </w:abstractNum>
  <w:abstractNum w:abstractNumId="32" w15:restartNumberingAfterBreak="0">
    <w:nsid w:val="4AAA23C4"/>
    <w:multiLevelType w:val="hybridMultilevel"/>
    <w:tmpl w:val="9F68F956"/>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15:restartNumberingAfterBreak="0">
    <w:nsid w:val="4AD16604"/>
    <w:multiLevelType w:val="hybridMultilevel"/>
    <w:tmpl w:val="FCFE3F4A"/>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4" w15:restartNumberingAfterBreak="0">
    <w:nsid w:val="51DC3C83"/>
    <w:multiLevelType w:val="hybridMultilevel"/>
    <w:tmpl w:val="9E1E8B1E"/>
    <w:lvl w:ilvl="0" w:tplc="04090015">
      <w:start w:val="1"/>
      <w:numFmt w:val="taiwaneseCountingThousand"/>
      <w:lvlText w:val="%1、"/>
      <w:lvlJc w:val="left"/>
      <w:pPr>
        <w:ind w:left="880" w:hanging="480"/>
      </w:pPr>
    </w:lvl>
    <w:lvl w:ilvl="1" w:tplc="04090019" w:tentative="1">
      <w:start w:val="1"/>
      <w:numFmt w:val="ideographTraditional"/>
      <w:lvlText w:val="%2、"/>
      <w:lvlJc w:val="left"/>
      <w:pPr>
        <w:ind w:left="1360" w:hanging="480"/>
      </w:pPr>
    </w:lvl>
    <w:lvl w:ilvl="2" w:tplc="0409001B" w:tentative="1">
      <w:start w:val="1"/>
      <w:numFmt w:val="lowerRoman"/>
      <w:lvlText w:val="%3."/>
      <w:lvlJc w:val="right"/>
      <w:pPr>
        <w:ind w:left="1840" w:hanging="480"/>
      </w:pPr>
    </w:lvl>
    <w:lvl w:ilvl="3" w:tplc="0409000F" w:tentative="1">
      <w:start w:val="1"/>
      <w:numFmt w:val="decimal"/>
      <w:lvlText w:val="%4."/>
      <w:lvlJc w:val="left"/>
      <w:pPr>
        <w:ind w:left="2320" w:hanging="480"/>
      </w:pPr>
    </w:lvl>
    <w:lvl w:ilvl="4" w:tplc="04090019" w:tentative="1">
      <w:start w:val="1"/>
      <w:numFmt w:val="ideographTraditional"/>
      <w:lvlText w:val="%5、"/>
      <w:lvlJc w:val="left"/>
      <w:pPr>
        <w:ind w:left="2800" w:hanging="480"/>
      </w:pPr>
    </w:lvl>
    <w:lvl w:ilvl="5" w:tplc="0409001B" w:tentative="1">
      <w:start w:val="1"/>
      <w:numFmt w:val="lowerRoman"/>
      <w:lvlText w:val="%6."/>
      <w:lvlJc w:val="right"/>
      <w:pPr>
        <w:ind w:left="3280" w:hanging="480"/>
      </w:pPr>
    </w:lvl>
    <w:lvl w:ilvl="6" w:tplc="0409000F" w:tentative="1">
      <w:start w:val="1"/>
      <w:numFmt w:val="decimal"/>
      <w:lvlText w:val="%7."/>
      <w:lvlJc w:val="left"/>
      <w:pPr>
        <w:ind w:left="3760" w:hanging="480"/>
      </w:pPr>
    </w:lvl>
    <w:lvl w:ilvl="7" w:tplc="04090019" w:tentative="1">
      <w:start w:val="1"/>
      <w:numFmt w:val="ideographTraditional"/>
      <w:lvlText w:val="%8、"/>
      <w:lvlJc w:val="left"/>
      <w:pPr>
        <w:ind w:left="4240" w:hanging="480"/>
      </w:pPr>
    </w:lvl>
    <w:lvl w:ilvl="8" w:tplc="0409001B" w:tentative="1">
      <w:start w:val="1"/>
      <w:numFmt w:val="lowerRoman"/>
      <w:lvlText w:val="%9."/>
      <w:lvlJc w:val="right"/>
      <w:pPr>
        <w:ind w:left="4720" w:hanging="480"/>
      </w:pPr>
    </w:lvl>
  </w:abstractNum>
  <w:abstractNum w:abstractNumId="35" w15:restartNumberingAfterBreak="0">
    <w:nsid w:val="55641EB4"/>
    <w:multiLevelType w:val="multilevel"/>
    <w:tmpl w:val="7B169C16"/>
    <w:lvl w:ilvl="0">
      <w:start w:val="1"/>
      <w:numFmt w:val="decimal"/>
      <w:pStyle w:val="1"/>
      <w:suff w:val="nothing"/>
      <w:lvlText w:val="第%1章. "/>
      <w:lvlJc w:val="left"/>
      <w:pPr>
        <w:ind w:left="425" w:hanging="425"/>
      </w:pPr>
      <w:rPr>
        <w:rFonts w:ascii="Arial" w:hAnsi="Arial" w:hint="default"/>
      </w:rPr>
    </w:lvl>
    <w:lvl w:ilvl="1">
      <w:start w:val="1"/>
      <w:numFmt w:val="decimal"/>
      <w:pStyle w:val="2"/>
      <w:suff w:val="nothing"/>
      <w:lvlText w:val="%1.%2. "/>
      <w:lvlJc w:val="left"/>
      <w:pPr>
        <w:ind w:left="567" w:hanging="567"/>
      </w:pPr>
      <w:rPr>
        <w:rFonts w:ascii="Arial" w:hAnsi="Arial" w:hint="default"/>
        <w:sz w:val="28"/>
        <w:szCs w:val="28"/>
      </w:rPr>
    </w:lvl>
    <w:lvl w:ilvl="2">
      <w:start w:val="1"/>
      <w:numFmt w:val="decimal"/>
      <w:pStyle w:val="3"/>
      <w:suff w:val="nothing"/>
      <w:lvlText w:val="%1.%2.%3. "/>
      <w:lvlJc w:val="left"/>
      <w:pPr>
        <w:ind w:left="709" w:hanging="709"/>
      </w:pPr>
      <w:rPr>
        <w:rFonts w:hint="eastAsia"/>
      </w:rPr>
    </w:lvl>
    <w:lvl w:ilvl="3">
      <w:start w:val="1"/>
      <w:numFmt w:val="decimal"/>
      <w:pStyle w:val="4"/>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6" w15:restartNumberingAfterBreak="0">
    <w:nsid w:val="57343E11"/>
    <w:multiLevelType w:val="hybridMultilevel"/>
    <w:tmpl w:val="8B74818E"/>
    <w:lvl w:ilvl="0" w:tplc="9572AF00">
      <w:start w:val="1"/>
      <w:numFmt w:val="decimal"/>
      <w:lvlText w:val="(%1)"/>
      <w:lvlJc w:val="left"/>
      <w:pPr>
        <w:ind w:left="976" w:hanging="480"/>
      </w:pPr>
      <w:rPr>
        <w:rFonts w:hint="eastAsia"/>
      </w:rPr>
    </w:lvl>
    <w:lvl w:ilvl="1" w:tplc="04090019" w:tentative="1">
      <w:start w:val="1"/>
      <w:numFmt w:val="ideographTraditional"/>
      <w:lvlText w:val="%2、"/>
      <w:lvlJc w:val="left"/>
      <w:pPr>
        <w:ind w:left="1456" w:hanging="480"/>
      </w:pPr>
    </w:lvl>
    <w:lvl w:ilvl="2" w:tplc="0409001B" w:tentative="1">
      <w:start w:val="1"/>
      <w:numFmt w:val="lowerRoman"/>
      <w:lvlText w:val="%3."/>
      <w:lvlJc w:val="right"/>
      <w:pPr>
        <w:ind w:left="1936" w:hanging="480"/>
      </w:pPr>
    </w:lvl>
    <w:lvl w:ilvl="3" w:tplc="0409000F" w:tentative="1">
      <w:start w:val="1"/>
      <w:numFmt w:val="decimal"/>
      <w:lvlText w:val="%4."/>
      <w:lvlJc w:val="left"/>
      <w:pPr>
        <w:ind w:left="2416" w:hanging="480"/>
      </w:pPr>
    </w:lvl>
    <w:lvl w:ilvl="4" w:tplc="04090019" w:tentative="1">
      <w:start w:val="1"/>
      <w:numFmt w:val="ideographTraditional"/>
      <w:lvlText w:val="%5、"/>
      <w:lvlJc w:val="left"/>
      <w:pPr>
        <w:ind w:left="2896" w:hanging="480"/>
      </w:pPr>
    </w:lvl>
    <w:lvl w:ilvl="5" w:tplc="0409001B" w:tentative="1">
      <w:start w:val="1"/>
      <w:numFmt w:val="lowerRoman"/>
      <w:lvlText w:val="%6."/>
      <w:lvlJc w:val="right"/>
      <w:pPr>
        <w:ind w:left="3376" w:hanging="480"/>
      </w:pPr>
    </w:lvl>
    <w:lvl w:ilvl="6" w:tplc="0409000F" w:tentative="1">
      <w:start w:val="1"/>
      <w:numFmt w:val="decimal"/>
      <w:lvlText w:val="%7."/>
      <w:lvlJc w:val="left"/>
      <w:pPr>
        <w:ind w:left="3856" w:hanging="480"/>
      </w:pPr>
    </w:lvl>
    <w:lvl w:ilvl="7" w:tplc="04090019" w:tentative="1">
      <w:start w:val="1"/>
      <w:numFmt w:val="ideographTraditional"/>
      <w:lvlText w:val="%8、"/>
      <w:lvlJc w:val="left"/>
      <w:pPr>
        <w:ind w:left="4336" w:hanging="480"/>
      </w:pPr>
    </w:lvl>
    <w:lvl w:ilvl="8" w:tplc="0409001B" w:tentative="1">
      <w:start w:val="1"/>
      <w:numFmt w:val="lowerRoman"/>
      <w:lvlText w:val="%9."/>
      <w:lvlJc w:val="right"/>
      <w:pPr>
        <w:ind w:left="4816" w:hanging="480"/>
      </w:pPr>
    </w:lvl>
  </w:abstractNum>
  <w:abstractNum w:abstractNumId="37" w15:restartNumberingAfterBreak="0">
    <w:nsid w:val="577D2EF5"/>
    <w:multiLevelType w:val="hybridMultilevel"/>
    <w:tmpl w:val="0DE2EB72"/>
    <w:lvl w:ilvl="0" w:tplc="04090015">
      <w:start w:val="1"/>
      <w:numFmt w:val="taiwaneseCountingThousand"/>
      <w:lvlText w:val="%1、"/>
      <w:lvlJc w:val="left"/>
      <w:pPr>
        <w:ind w:left="880" w:hanging="480"/>
      </w:pPr>
    </w:lvl>
    <w:lvl w:ilvl="1" w:tplc="04090019" w:tentative="1">
      <w:start w:val="1"/>
      <w:numFmt w:val="ideographTraditional"/>
      <w:lvlText w:val="%2、"/>
      <w:lvlJc w:val="left"/>
      <w:pPr>
        <w:ind w:left="1360" w:hanging="480"/>
      </w:pPr>
    </w:lvl>
    <w:lvl w:ilvl="2" w:tplc="0409001B" w:tentative="1">
      <w:start w:val="1"/>
      <w:numFmt w:val="lowerRoman"/>
      <w:lvlText w:val="%3."/>
      <w:lvlJc w:val="right"/>
      <w:pPr>
        <w:ind w:left="1840" w:hanging="480"/>
      </w:pPr>
    </w:lvl>
    <w:lvl w:ilvl="3" w:tplc="0409000F" w:tentative="1">
      <w:start w:val="1"/>
      <w:numFmt w:val="decimal"/>
      <w:lvlText w:val="%4."/>
      <w:lvlJc w:val="left"/>
      <w:pPr>
        <w:ind w:left="2320" w:hanging="480"/>
      </w:pPr>
    </w:lvl>
    <w:lvl w:ilvl="4" w:tplc="04090019" w:tentative="1">
      <w:start w:val="1"/>
      <w:numFmt w:val="ideographTraditional"/>
      <w:lvlText w:val="%5、"/>
      <w:lvlJc w:val="left"/>
      <w:pPr>
        <w:ind w:left="2800" w:hanging="480"/>
      </w:pPr>
    </w:lvl>
    <w:lvl w:ilvl="5" w:tplc="0409001B" w:tentative="1">
      <w:start w:val="1"/>
      <w:numFmt w:val="lowerRoman"/>
      <w:lvlText w:val="%6."/>
      <w:lvlJc w:val="right"/>
      <w:pPr>
        <w:ind w:left="3280" w:hanging="480"/>
      </w:pPr>
    </w:lvl>
    <w:lvl w:ilvl="6" w:tplc="0409000F" w:tentative="1">
      <w:start w:val="1"/>
      <w:numFmt w:val="decimal"/>
      <w:lvlText w:val="%7."/>
      <w:lvlJc w:val="left"/>
      <w:pPr>
        <w:ind w:left="3760" w:hanging="480"/>
      </w:pPr>
    </w:lvl>
    <w:lvl w:ilvl="7" w:tplc="04090019" w:tentative="1">
      <w:start w:val="1"/>
      <w:numFmt w:val="ideographTraditional"/>
      <w:lvlText w:val="%8、"/>
      <w:lvlJc w:val="left"/>
      <w:pPr>
        <w:ind w:left="4240" w:hanging="480"/>
      </w:pPr>
    </w:lvl>
    <w:lvl w:ilvl="8" w:tplc="0409001B" w:tentative="1">
      <w:start w:val="1"/>
      <w:numFmt w:val="lowerRoman"/>
      <w:lvlText w:val="%9."/>
      <w:lvlJc w:val="right"/>
      <w:pPr>
        <w:ind w:left="4720" w:hanging="480"/>
      </w:pPr>
    </w:lvl>
  </w:abstractNum>
  <w:abstractNum w:abstractNumId="38" w15:restartNumberingAfterBreak="0">
    <w:nsid w:val="57A223A6"/>
    <w:multiLevelType w:val="hybridMultilevel"/>
    <w:tmpl w:val="B762D7D2"/>
    <w:lvl w:ilvl="0" w:tplc="04090015">
      <w:start w:val="1"/>
      <w:numFmt w:val="taiwaneseCountingThousand"/>
      <w:lvlText w:val="%1、"/>
      <w:lvlJc w:val="left"/>
      <w:pPr>
        <w:ind w:left="880" w:hanging="480"/>
      </w:pPr>
    </w:lvl>
    <w:lvl w:ilvl="1" w:tplc="04090019" w:tentative="1">
      <w:start w:val="1"/>
      <w:numFmt w:val="ideographTraditional"/>
      <w:lvlText w:val="%2、"/>
      <w:lvlJc w:val="left"/>
      <w:pPr>
        <w:ind w:left="1360" w:hanging="480"/>
      </w:pPr>
    </w:lvl>
    <w:lvl w:ilvl="2" w:tplc="0409001B" w:tentative="1">
      <w:start w:val="1"/>
      <w:numFmt w:val="lowerRoman"/>
      <w:lvlText w:val="%3."/>
      <w:lvlJc w:val="right"/>
      <w:pPr>
        <w:ind w:left="1840" w:hanging="480"/>
      </w:pPr>
    </w:lvl>
    <w:lvl w:ilvl="3" w:tplc="0409000F" w:tentative="1">
      <w:start w:val="1"/>
      <w:numFmt w:val="decimal"/>
      <w:lvlText w:val="%4."/>
      <w:lvlJc w:val="left"/>
      <w:pPr>
        <w:ind w:left="2320" w:hanging="480"/>
      </w:pPr>
    </w:lvl>
    <w:lvl w:ilvl="4" w:tplc="04090019" w:tentative="1">
      <w:start w:val="1"/>
      <w:numFmt w:val="ideographTraditional"/>
      <w:lvlText w:val="%5、"/>
      <w:lvlJc w:val="left"/>
      <w:pPr>
        <w:ind w:left="2800" w:hanging="480"/>
      </w:pPr>
    </w:lvl>
    <w:lvl w:ilvl="5" w:tplc="0409001B" w:tentative="1">
      <w:start w:val="1"/>
      <w:numFmt w:val="lowerRoman"/>
      <w:lvlText w:val="%6."/>
      <w:lvlJc w:val="right"/>
      <w:pPr>
        <w:ind w:left="3280" w:hanging="480"/>
      </w:pPr>
    </w:lvl>
    <w:lvl w:ilvl="6" w:tplc="0409000F" w:tentative="1">
      <w:start w:val="1"/>
      <w:numFmt w:val="decimal"/>
      <w:lvlText w:val="%7."/>
      <w:lvlJc w:val="left"/>
      <w:pPr>
        <w:ind w:left="3760" w:hanging="480"/>
      </w:pPr>
    </w:lvl>
    <w:lvl w:ilvl="7" w:tplc="04090019" w:tentative="1">
      <w:start w:val="1"/>
      <w:numFmt w:val="ideographTraditional"/>
      <w:lvlText w:val="%8、"/>
      <w:lvlJc w:val="left"/>
      <w:pPr>
        <w:ind w:left="4240" w:hanging="480"/>
      </w:pPr>
    </w:lvl>
    <w:lvl w:ilvl="8" w:tplc="0409001B" w:tentative="1">
      <w:start w:val="1"/>
      <w:numFmt w:val="lowerRoman"/>
      <w:lvlText w:val="%9."/>
      <w:lvlJc w:val="right"/>
      <w:pPr>
        <w:ind w:left="4720" w:hanging="480"/>
      </w:pPr>
    </w:lvl>
  </w:abstractNum>
  <w:abstractNum w:abstractNumId="39" w15:restartNumberingAfterBreak="0">
    <w:nsid w:val="58377679"/>
    <w:multiLevelType w:val="hybridMultilevel"/>
    <w:tmpl w:val="39468EDA"/>
    <w:lvl w:ilvl="0" w:tplc="04090015">
      <w:start w:val="1"/>
      <w:numFmt w:val="taiwaneseCountingThousand"/>
      <w:lvlText w:val="%1、"/>
      <w:lvlJc w:val="left"/>
      <w:pPr>
        <w:ind w:left="880" w:hanging="480"/>
      </w:pPr>
    </w:lvl>
    <w:lvl w:ilvl="1" w:tplc="04090019" w:tentative="1">
      <w:start w:val="1"/>
      <w:numFmt w:val="ideographTraditional"/>
      <w:lvlText w:val="%2、"/>
      <w:lvlJc w:val="left"/>
      <w:pPr>
        <w:ind w:left="1360" w:hanging="480"/>
      </w:pPr>
    </w:lvl>
    <w:lvl w:ilvl="2" w:tplc="0409001B" w:tentative="1">
      <w:start w:val="1"/>
      <w:numFmt w:val="lowerRoman"/>
      <w:lvlText w:val="%3."/>
      <w:lvlJc w:val="right"/>
      <w:pPr>
        <w:ind w:left="1840" w:hanging="480"/>
      </w:pPr>
    </w:lvl>
    <w:lvl w:ilvl="3" w:tplc="0409000F" w:tentative="1">
      <w:start w:val="1"/>
      <w:numFmt w:val="decimal"/>
      <w:lvlText w:val="%4."/>
      <w:lvlJc w:val="left"/>
      <w:pPr>
        <w:ind w:left="2320" w:hanging="480"/>
      </w:pPr>
    </w:lvl>
    <w:lvl w:ilvl="4" w:tplc="04090019" w:tentative="1">
      <w:start w:val="1"/>
      <w:numFmt w:val="ideographTraditional"/>
      <w:lvlText w:val="%5、"/>
      <w:lvlJc w:val="left"/>
      <w:pPr>
        <w:ind w:left="2800" w:hanging="480"/>
      </w:pPr>
    </w:lvl>
    <w:lvl w:ilvl="5" w:tplc="0409001B" w:tentative="1">
      <w:start w:val="1"/>
      <w:numFmt w:val="lowerRoman"/>
      <w:lvlText w:val="%6."/>
      <w:lvlJc w:val="right"/>
      <w:pPr>
        <w:ind w:left="3280" w:hanging="480"/>
      </w:pPr>
    </w:lvl>
    <w:lvl w:ilvl="6" w:tplc="0409000F" w:tentative="1">
      <w:start w:val="1"/>
      <w:numFmt w:val="decimal"/>
      <w:lvlText w:val="%7."/>
      <w:lvlJc w:val="left"/>
      <w:pPr>
        <w:ind w:left="3760" w:hanging="480"/>
      </w:pPr>
    </w:lvl>
    <w:lvl w:ilvl="7" w:tplc="04090019" w:tentative="1">
      <w:start w:val="1"/>
      <w:numFmt w:val="ideographTraditional"/>
      <w:lvlText w:val="%8、"/>
      <w:lvlJc w:val="left"/>
      <w:pPr>
        <w:ind w:left="4240" w:hanging="480"/>
      </w:pPr>
    </w:lvl>
    <w:lvl w:ilvl="8" w:tplc="0409001B" w:tentative="1">
      <w:start w:val="1"/>
      <w:numFmt w:val="lowerRoman"/>
      <w:lvlText w:val="%9."/>
      <w:lvlJc w:val="right"/>
      <w:pPr>
        <w:ind w:left="4720" w:hanging="480"/>
      </w:pPr>
    </w:lvl>
  </w:abstractNum>
  <w:abstractNum w:abstractNumId="40" w15:restartNumberingAfterBreak="0">
    <w:nsid w:val="588072FC"/>
    <w:multiLevelType w:val="hybridMultilevel"/>
    <w:tmpl w:val="007875E4"/>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1" w15:restartNumberingAfterBreak="0">
    <w:nsid w:val="5A827DE6"/>
    <w:multiLevelType w:val="hybridMultilevel"/>
    <w:tmpl w:val="1584DAF8"/>
    <w:lvl w:ilvl="0" w:tplc="04090015">
      <w:start w:val="1"/>
      <w:numFmt w:val="taiwaneseCountingThousand"/>
      <w:lvlText w:val="%1、"/>
      <w:lvlJc w:val="left"/>
      <w:pPr>
        <w:ind w:left="880" w:hanging="480"/>
      </w:pPr>
    </w:lvl>
    <w:lvl w:ilvl="1" w:tplc="04090019" w:tentative="1">
      <w:start w:val="1"/>
      <w:numFmt w:val="ideographTraditional"/>
      <w:lvlText w:val="%2、"/>
      <w:lvlJc w:val="left"/>
      <w:pPr>
        <w:ind w:left="1360" w:hanging="480"/>
      </w:pPr>
    </w:lvl>
    <w:lvl w:ilvl="2" w:tplc="0409001B" w:tentative="1">
      <w:start w:val="1"/>
      <w:numFmt w:val="lowerRoman"/>
      <w:lvlText w:val="%3."/>
      <w:lvlJc w:val="right"/>
      <w:pPr>
        <w:ind w:left="1840" w:hanging="480"/>
      </w:pPr>
    </w:lvl>
    <w:lvl w:ilvl="3" w:tplc="0409000F" w:tentative="1">
      <w:start w:val="1"/>
      <w:numFmt w:val="decimal"/>
      <w:lvlText w:val="%4."/>
      <w:lvlJc w:val="left"/>
      <w:pPr>
        <w:ind w:left="2320" w:hanging="480"/>
      </w:pPr>
    </w:lvl>
    <w:lvl w:ilvl="4" w:tplc="04090019" w:tentative="1">
      <w:start w:val="1"/>
      <w:numFmt w:val="ideographTraditional"/>
      <w:lvlText w:val="%5、"/>
      <w:lvlJc w:val="left"/>
      <w:pPr>
        <w:ind w:left="2800" w:hanging="480"/>
      </w:pPr>
    </w:lvl>
    <w:lvl w:ilvl="5" w:tplc="0409001B" w:tentative="1">
      <w:start w:val="1"/>
      <w:numFmt w:val="lowerRoman"/>
      <w:lvlText w:val="%6."/>
      <w:lvlJc w:val="right"/>
      <w:pPr>
        <w:ind w:left="3280" w:hanging="480"/>
      </w:pPr>
    </w:lvl>
    <w:lvl w:ilvl="6" w:tplc="0409000F" w:tentative="1">
      <w:start w:val="1"/>
      <w:numFmt w:val="decimal"/>
      <w:lvlText w:val="%7."/>
      <w:lvlJc w:val="left"/>
      <w:pPr>
        <w:ind w:left="3760" w:hanging="480"/>
      </w:pPr>
    </w:lvl>
    <w:lvl w:ilvl="7" w:tplc="04090019" w:tentative="1">
      <w:start w:val="1"/>
      <w:numFmt w:val="ideographTraditional"/>
      <w:lvlText w:val="%8、"/>
      <w:lvlJc w:val="left"/>
      <w:pPr>
        <w:ind w:left="4240" w:hanging="480"/>
      </w:pPr>
    </w:lvl>
    <w:lvl w:ilvl="8" w:tplc="0409001B" w:tentative="1">
      <w:start w:val="1"/>
      <w:numFmt w:val="lowerRoman"/>
      <w:lvlText w:val="%9."/>
      <w:lvlJc w:val="right"/>
      <w:pPr>
        <w:ind w:left="4720" w:hanging="480"/>
      </w:pPr>
    </w:lvl>
  </w:abstractNum>
  <w:abstractNum w:abstractNumId="42" w15:restartNumberingAfterBreak="0">
    <w:nsid w:val="64B242DA"/>
    <w:multiLevelType w:val="hybridMultilevel"/>
    <w:tmpl w:val="56627DFA"/>
    <w:lvl w:ilvl="0" w:tplc="04090015">
      <w:start w:val="1"/>
      <w:numFmt w:val="taiwaneseCountingThousand"/>
      <w:lvlText w:val="%1、"/>
      <w:lvlJc w:val="left"/>
      <w:pPr>
        <w:ind w:left="880" w:hanging="480"/>
      </w:pPr>
    </w:lvl>
    <w:lvl w:ilvl="1" w:tplc="04090019" w:tentative="1">
      <w:start w:val="1"/>
      <w:numFmt w:val="ideographTraditional"/>
      <w:lvlText w:val="%2、"/>
      <w:lvlJc w:val="left"/>
      <w:pPr>
        <w:ind w:left="1360" w:hanging="480"/>
      </w:pPr>
    </w:lvl>
    <w:lvl w:ilvl="2" w:tplc="0409001B" w:tentative="1">
      <w:start w:val="1"/>
      <w:numFmt w:val="lowerRoman"/>
      <w:lvlText w:val="%3."/>
      <w:lvlJc w:val="right"/>
      <w:pPr>
        <w:ind w:left="1840" w:hanging="480"/>
      </w:pPr>
    </w:lvl>
    <w:lvl w:ilvl="3" w:tplc="0409000F" w:tentative="1">
      <w:start w:val="1"/>
      <w:numFmt w:val="decimal"/>
      <w:lvlText w:val="%4."/>
      <w:lvlJc w:val="left"/>
      <w:pPr>
        <w:ind w:left="2320" w:hanging="480"/>
      </w:pPr>
    </w:lvl>
    <w:lvl w:ilvl="4" w:tplc="04090019" w:tentative="1">
      <w:start w:val="1"/>
      <w:numFmt w:val="ideographTraditional"/>
      <w:lvlText w:val="%5、"/>
      <w:lvlJc w:val="left"/>
      <w:pPr>
        <w:ind w:left="2800" w:hanging="480"/>
      </w:pPr>
    </w:lvl>
    <w:lvl w:ilvl="5" w:tplc="0409001B" w:tentative="1">
      <w:start w:val="1"/>
      <w:numFmt w:val="lowerRoman"/>
      <w:lvlText w:val="%6."/>
      <w:lvlJc w:val="right"/>
      <w:pPr>
        <w:ind w:left="3280" w:hanging="480"/>
      </w:pPr>
    </w:lvl>
    <w:lvl w:ilvl="6" w:tplc="0409000F" w:tentative="1">
      <w:start w:val="1"/>
      <w:numFmt w:val="decimal"/>
      <w:lvlText w:val="%7."/>
      <w:lvlJc w:val="left"/>
      <w:pPr>
        <w:ind w:left="3760" w:hanging="480"/>
      </w:pPr>
    </w:lvl>
    <w:lvl w:ilvl="7" w:tplc="04090019" w:tentative="1">
      <w:start w:val="1"/>
      <w:numFmt w:val="ideographTraditional"/>
      <w:lvlText w:val="%8、"/>
      <w:lvlJc w:val="left"/>
      <w:pPr>
        <w:ind w:left="4240" w:hanging="480"/>
      </w:pPr>
    </w:lvl>
    <w:lvl w:ilvl="8" w:tplc="0409001B" w:tentative="1">
      <w:start w:val="1"/>
      <w:numFmt w:val="lowerRoman"/>
      <w:lvlText w:val="%9."/>
      <w:lvlJc w:val="right"/>
      <w:pPr>
        <w:ind w:left="4720" w:hanging="480"/>
      </w:pPr>
    </w:lvl>
  </w:abstractNum>
  <w:abstractNum w:abstractNumId="43" w15:restartNumberingAfterBreak="0">
    <w:nsid w:val="672D6F17"/>
    <w:multiLevelType w:val="hybridMultilevel"/>
    <w:tmpl w:val="98FC6408"/>
    <w:lvl w:ilvl="0" w:tplc="04090015">
      <w:start w:val="1"/>
      <w:numFmt w:val="taiwaneseCountingThousand"/>
      <w:lvlText w:val="%1、"/>
      <w:lvlJc w:val="left"/>
      <w:pPr>
        <w:ind w:left="880" w:hanging="480"/>
      </w:pPr>
    </w:lvl>
    <w:lvl w:ilvl="1" w:tplc="04090019" w:tentative="1">
      <w:start w:val="1"/>
      <w:numFmt w:val="ideographTraditional"/>
      <w:lvlText w:val="%2、"/>
      <w:lvlJc w:val="left"/>
      <w:pPr>
        <w:ind w:left="1360" w:hanging="480"/>
      </w:pPr>
    </w:lvl>
    <w:lvl w:ilvl="2" w:tplc="0409001B" w:tentative="1">
      <w:start w:val="1"/>
      <w:numFmt w:val="lowerRoman"/>
      <w:lvlText w:val="%3."/>
      <w:lvlJc w:val="right"/>
      <w:pPr>
        <w:ind w:left="1840" w:hanging="480"/>
      </w:pPr>
    </w:lvl>
    <w:lvl w:ilvl="3" w:tplc="0409000F" w:tentative="1">
      <w:start w:val="1"/>
      <w:numFmt w:val="decimal"/>
      <w:lvlText w:val="%4."/>
      <w:lvlJc w:val="left"/>
      <w:pPr>
        <w:ind w:left="2320" w:hanging="480"/>
      </w:pPr>
    </w:lvl>
    <w:lvl w:ilvl="4" w:tplc="04090019" w:tentative="1">
      <w:start w:val="1"/>
      <w:numFmt w:val="ideographTraditional"/>
      <w:lvlText w:val="%5、"/>
      <w:lvlJc w:val="left"/>
      <w:pPr>
        <w:ind w:left="2800" w:hanging="480"/>
      </w:pPr>
    </w:lvl>
    <w:lvl w:ilvl="5" w:tplc="0409001B" w:tentative="1">
      <w:start w:val="1"/>
      <w:numFmt w:val="lowerRoman"/>
      <w:lvlText w:val="%6."/>
      <w:lvlJc w:val="right"/>
      <w:pPr>
        <w:ind w:left="3280" w:hanging="480"/>
      </w:pPr>
    </w:lvl>
    <w:lvl w:ilvl="6" w:tplc="0409000F" w:tentative="1">
      <w:start w:val="1"/>
      <w:numFmt w:val="decimal"/>
      <w:lvlText w:val="%7."/>
      <w:lvlJc w:val="left"/>
      <w:pPr>
        <w:ind w:left="3760" w:hanging="480"/>
      </w:pPr>
    </w:lvl>
    <w:lvl w:ilvl="7" w:tplc="04090019" w:tentative="1">
      <w:start w:val="1"/>
      <w:numFmt w:val="ideographTraditional"/>
      <w:lvlText w:val="%8、"/>
      <w:lvlJc w:val="left"/>
      <w:pPr>
        <w:ind w:left="4240" w:hanging="480"/>
      </w:pPr>
    </w:lvl>
    <w:lvl w:ilvl="8" w:tplc="0409001B" w:tentative="1">
      <w:start w:val="1"/>
      <w:numFmt w:val="lowerRoman"/>
      <w:lvlText w:val="%9."/>
      <w:lvlJc w:val="right"/>
      <w:pPr>
        <w:ind w:left="4720" w:hanging="480"/>
      </w:pPr>
    </w:lvl>
  </w:abstractNum>
  <w:abstractNum w:abstractNumId="44" w15:restartNumberingAfterBreak="0">
    <w:nsid w:val="6F8801FC"/>
    <w:multiLevelType w:val="hybridMultilevel"/>
    <w:tmpl w:val="C3122B90"/>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5" w15:restartNumberingAfterBreak="0">
    <w:nsid w:val="70D60C4E"/>
    <w:multiLevelType w:val="hybridMultilevel"/>
    <w:tmpl w:val="73FE5014"/>
    <w:lvl w:ilvl="0" w:tplc="390CE124">
      <w:start w:val="1"/>
      <w:numFmt w:val="decimal"/>
      <w:lvlText w:val="(%1)."/>
      <w:lvlJc w:val="left"/>
      <w:pPr>
        <w:ind w:left="880" w:hanging="480"/>
      </w:pPr>
      <w:rPr>
        <w:rFonts w:hint="eastAsia"/>
      </w:rPr>
    </w:lvl>
    <w:lvl w:ilvl="1" w:tplc="04090019" w:tentative="1">
      <w:start w:val="1"/>
      <w:numFmt w:val="ideographTraditional"/>
      <w:lvlText w:val="%2、"/>
      <w:lvlJc w:val="left"/>
      <w:pPr>
        <w:ind w:left="1360" w:hanging="480"/>
      </w:pPr>
    </w:lvl>
    <w:lvl w:ilvl="2" w:tplc="0409001B" w:tentative="1">
      <w:start w:val="1"/>
      <w:numFmt w:val="lowerRoman"/>
      <w:lvlText w:val="%3."/>
      <w:lvlJc w:val="right"/>
      <w:pPr>
        <w:ind w:left="1840" w:hanging="480"/>
      </w:pPr>
    </w:lvl>
    <w:lvl w:ilvl="3" w:tplc="0409000F" w:tentative="1">
      <w:start w:val="1"/>
      <w:numFmt w:val="decimal"/>
      <w:lvlText w:val="%4."/>
      <w:lvlJc w:val="left"/>
      <w:pPr>
        <w:ind w:left="2320" w:hanging="480"/>
      </w:pPr>
    </w:lvl>
    <w:lvl w:ilvl="4" w:tplc="04090019" w:tentative="1">
      <w:start w:val="1"/>
      <w:numFmt w:val="ideographTraditional"/>
      <w:lvlText w:val="%5、"/>
      <w:lvlJc w:val="left"/>
      <w:pPr>
        <w:ind w:left="2800" w:hanging="480"/>
      </w:pPr>
    </w:lvl>
    <w:lvl w:ilvl="5" w:tplc="0409001B" w:tentative="1">
      <w:start w:val="1"/>
      <w:numFmt w:val="lowerRoman"/>
      <w:lvlText w:val="%6."/>
      <w:lvlJc w:val="right"/>
      <w:pPr>
        <w:ind w:left="3280" w:hanging="480"/>
      </w:pPr>
    </w:lvl>
    <w:lvl w:ilvl="6" w:tplc="0409000F" w:tentative="1">
      <w:start w:val="1"/>
      <w:numFmt w:val="decimal"/>
      <w:lvlText w:val="%7."/>
      <w:lvlJc w:val="left"/>
      <w:pPr>
        <w:ind w:left="3760" w:hanging="480"/>
      </w:pPr>
    </w:lvl>
    <w:lvl w:ilvl="7" w:tplc="04090019" w:tentative="1">
      <w:start w:val="1"/>
      <w:numFmt w:val="ideographTraditional"/>
      <w:lvlText w:val="%8、"/>
      <w:lvlJc w:val="left"/>
      <w:pPr>
        <w:ind w:left="4240" w:hanging="480"/>
      </w:pPr>
    </w:lvl>
    <w:lvl w:ilvl="8" w:tplc="0409001B" w:tentative="1">
      <w:start w:val="1"/>
      <w:numFmt w:val="lowerRoman"/>
      <w:lvlText w:val="%9."/>
      <w:lvlJc w:val="right"/>
      <w:pPr>
        <w:ind w:left="4720" w:hanging="480"/>
      </w:pPr>
    </w:lvl>
  </w:abstractNum>
  <w:abstractNum w:abstractNumId="46" w15:restartNumberingAfterBreak="0">
    <w:nsid w:val="74F953CA"/>
    <w:multiLevelType w:val="hybridMultilevel"/>
    <w:tmpl w:val="4E4A05D0"/>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7" w15:restartNumberingAfterBreak="0">
    <w:nsid w:val="790E51A3"/>
    <w:multiLevelType w:val="hybridMultilevel"/>
    <w:tmpl w:val="5C188C78"/>
    <w:lvl w:ilvl="0" w:tplc="390CE124">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8" w15:restartNumberingAfterBreak="0">
    <w:nsid w:val="7A154919"/>
    <w:multiLevelType w:val="hybridMultilevel"/>
    <w:tmpl w:val="28546148"/>
    <w:lvl w:ilvl="0" w:tplc="04090015">
      <w:start w:val="1"/>
      <w:numFmt w:val="taiwaneseCountingThousand"/>
      <w:lvlText w:val="%1、"/>
      <w:lvlJc w:val="left"/>
      <w:pPr>
        <w:ind w:left="880" w:hanging="480"/>
      </w:pPr>
    </w:lvl>
    <w:lvl w:ilvl="1" w:tplc="04090019" w:tentative="1">
      <w:start w:val="1"/>
      <w:numFmt w:val="ideographTraditional"/>
      <w:lvlText w:val="%2、"/>
      <w:lvlJc w:val="left"/>
      <w:pPr>
        <w:ind w:left="1360" w:hanging="480"/>
      </w:pPr>
    </w:lvl>
    <w:lvl w:ilvl="2" w:tplc="0409001B" w:tentative="1">
      <w:start w:val="1"/>
      <w:numFmt w:val="lowerRoman"/>
      <w:lvlText w:val="%3."/>
      <w:lvlJc w:val="right"/>
      <w:pPr>
        <w:ind w:left="1840" w:hanging="480"/>
      </w:pPr>
    </w:lvl>
    <w:lvl w:ilvl="3" w:tplc="0409000F" w:tentative="1">
      <w:start w:val="1"/>
      <w:numFmt w:val="decimal"/>
      <w:lvlText w:val="%4."/>
      <w:lvlJc w:val="left"/>
      <w:pPr>
        <w:ind w:left="2320" w:hanging="480"/>
      </w:pPr>
    </w:lvl>
    <w:lvl w:ilvl="4" w:tplc="04090019" w:tentative="1">
      <w:start w:val="1"/>
      <w:numFmt w:val="ideographTraditional"/>
      <w:lvlText w:val="%5、"/>
      <w:lvlJc w:val="left"/>
      <w:pPr>
        <w:ind w:left="2800" w:hanging="480"/>
      </w:pPr>
    </w:lvl>
    <w:lvl w:ilvl="5" w:tplc="0409001B" w:tentative="1">
      <w:start w:val="1"/>
      <w:numFmt w:val="lowerRoman"/>
      <w:lvlText w:val="%6."/>
      <w:lvlJc w:val="right"/>
      <w:pPr>
        <w:ind w:left="3280" w:hanging="480"/>
      </w:pPr>
    </w:lvl>
    <w:lvl w:ilvl="6" w:tplc="0409000F" w:tentative="1">
      <w:start w:val="1"/>
      <w:numFmt w:val="decimal"/>
      <w:lvlText w:val="%7."/>
      <w:lvlJc w:val="left"/>
      <w:pPr>
        <w:ind w:left="3760" w:hanging="480"/>
      </w:pPr>
    </w:lvl>
    <w:lvl w:ilvl="7" w:tplc="04090019" w:tentative="1">
      <w:start w:val="1"/>
      <w:numFmt w:val="ideographTraditional"/>
      <w:lvlText w:val="%8、"/>
      <w:lvlJc w:val="left"/>
      <w:pPr>
        <w:ind w:left="4240" w:hanging="480"/>
      </w:pPr>
    </w:lvl>
    <w:lvl w:ilvl="8" w:tplc="0409001B" w:tentative="1">
      <w:start w:val="1"/>
      <w:numFmt w:val="lowerRoman"/>
      <w:lvlText w:val="%9."/>
      <w:lvlJc w:val="right"/>
      <w:pPr>
        <w:ind w:left="4720" w:hanging="480"/>
      </w:pPr>
    </w:lvl>
  </w:abstractNum>
  <w:num w:numId="1">
    <w:abstractNumId w:val="8"/>
  </w:num>
  <w:num w:numId="2">
    <w:abstractNumId w:val="3"/>
  </w:num>
  <w:num w:numId="3">
    <w:abstractNumId w:val="2"/>
  </w:num>
  <w:num w:numId="4">
    <w:abstractNumId w:val="1"/>
  </w:num>
  <w:num w:numId="5">
    <w:abstractNumId w:val="0"/>
  </w:num>
  <w:num w:numId="6">
    <w:abstractNumId w:val="9"/>
  </w:num>
  <w:num w:numId="7">
    <w:abstractNumId w:val="7"/>
  </w:num>
  <w:num w:numId="8">
    <w:abstractNumId w:val="6"/>
  </w:num>
  <w:num w:numId="9">
    <w:abstractNumId w:val="5"/>
  </w:num>
  <w:num w:numId="10">
    <w:abstractNumId w:val="4"/>
  </w:num>
  <w:num w:numId="11">
    <w:abstractNumId w:val="25"/>
  </w:num>
  <w:num w:numId="12">
    <w:abstractNumId w:val="36"/>
  </w:num>
  <w:num w:numId="13">
    <w:abstractNumId w:val="27"/>
  </w:num>
  <w:num w:numId="14">
    <w:abstractNumId w:val="35"/>
  </w:num>
  <w:num w:numId="15">
    <w:abstractNumId w:val="24"/>
  </w:num>
  <w:num w:numId="16">
    <w:abstractNumId w:val="15"/>
  </w:num>
  <w:num w:numId="17">
    <w:abstractNumId w:val="48"/>
  </w:num>
  <w:num w:numId="18">
    <w:abstractNumId w:val="38"/>
  </w:num>
  <w:num w:numId="19">
    <w:abstractNumId w:val="28"/>
  </w:num>
  <w:num w:numId="20">
    <w:abstractNumId w:val="42"/>
  </w:num>
  <w:num w:numId="21">
    <w:abstractNumId w:val="39"/>
  </w:num>
  <w:num w:numId="22">
    <w:abstractNumId w:val="37"/>
  </w:num>
  <w:num w:numId="23">
    <w:abstractNumId w:val="43"/>
  </w:num>
  <w:num w:numId="24">
    <w:abstractNumId w:val="17"/>
  </w:num>
  <w:num w:numId="25">
    <w:abstractNumId w:val="11"/>
  </w:num>
  <w:num w:numId="26">
    <w:abstractNumId w:val="16"/>
  </w:num>
  <w:num w:numId="27">
    <w:abstractNumId w:val="34"/>
  </w:num>
  <w:num w:numId="28">
    <w:abstractNumId w:val="13"/>
  </w:num>
  <w:num w:numId="29">
    <w:abstractNumId w:val="46"/>
  </w:num>
  <w:num w:numId="30">
    <w:abstractNumId w:val="40"/>
  </w:num>
  <w:num w:numId="31">
    <w:abstractNumId w:val="12"/>
  </w:num>
  <w:num w:numId="32">
    <w:abstractNumId w:val="23"/>
  </w:num>
  <w:num w:numId="33">
    <w:abstractNumId w:val="31"/>
  </w:num>
  <w:num w:numId="34">
    <w:abstractNumId w:val="20"/>
  </w:num>
  <w:num w:numId="35">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2"/>
  </w:num>
  <w:num w:numId="37">
    <w:abstractNumId w:val="29"/>
  </w:num>
  <w:num w:numId="38">
    <w:abstractNumId w:val="26"/>
  </w:num>
  <w:num w:numId="39">
    <w:abstractNumId w:val="33"/>
  </w:num>
  <w:num w:numId="40">
    <w:abstractNumId w:val="19"/>
  </w:num>
  <w:num w:numId="41">
    <w:abstractNumId w:val="18"/>
  </w:num>
  <w:num w:numId="42">
    <w:abstractNumId w:val="14"/>
  </w:num>
  <w:num w:numId="43">
    <w:abstractNumId w:val="41"/>
  </w:num>
  <w:num w:numId="44">
    <w:abstractNumId w:val="10"/>
  </w:num>
  <w:num w:numId="45">
    <w:abstractNumId w:val="45"/>
  </w:num>
  <w:num w:numId="46">
    <w:abstractNumId w:val="47"/>
  </w:num>
  <w:num w:numId="47">
    <w:abstractNumId w:val="30"/>
  </w:num>
  <w:num w:numId="48">
    <w:abstractNumId w:val="21"/>
  </w:num>
  <w:num w:numId="49">
    <w:abstractNumId w:val="32"/>
  </w:num>
  <w:num w:numId="50">
    <w:abstractNumId w:val="4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bordersDoNotSurroundHeader/>
  <w:bordersDoNotSurroundFooter/>
  <w:proofState w:spelling="clean" w:grammar="clean"/>
  <w:stylePaneFormatFilter w:val="5F04" w:allStyles="0" w:customStyles="0" w:latentStyles="1" w:stylesInUse="0" w:headingStyles="0" w:numberingStyles="0" w:tableStyles="0" w:directFormattingOnRuns="1" w:directFormattingOnParagraphs="1" w:directFormattingOnNumbering="1" w:directFormattingOnTables="1" w:clearFormatting="1" w:top3HeadingStyles="0" w:visibleStyles="1" w:alternateStyleNames="0"/>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2135"/>
    <w:rsid w:val="0000769E"/>
    <w:rsid w:val="00014DDD"/>
    <w:rsid w:val="000542C8"/>
    <w:rsid w:val="00086716"/>
    <w:rsid w:val="00093FFB"/>
    <w:rsid w:val="000A2CF6"/>
    <w:rsid w:val="000A2FF2"/>
    <w:rsid w:val="000C1B8A"/>
    <w:rsid w:val="000E012B"/>
    <w:rsid w:val="000F3B91"/>
    <w:rsid w:val="001167E7"/>
    <w:rsid w:val="001209BB"/>
    <w:rsid w:val="00125763"/>
    <w:rsid w:val="0012716A"/>
    <w:rsid w:val="00134E41"/>
    <w:rsid w:val="00137FF0"/>
    <w:rsid w:val="00142F48"/>
    <w:rsid w:val="00167EAE"/>
    <w:rsid w:val="00186322"/>
    <w:rsid w:val="001A6166"/>
    <w:rsid w:val="001B1E0A"/>
    <w:rsid w:val="00217DB3"/>
    <w:rsid w:val="0024046B"/>
    <w:rsid w:val="002430C9"/>
    <w:rsid w:val="0026475C"/>
    <w:rsid w:val="00281B62"/>
    <w:rsid w:val="002825E2"/>
    <w:rsid w:val="00285F43"/>
    <w:rsid w:val="002926EA"/>
    <w:rsid w:val="00297197"/>
    <w:rsid w:val="002A70A0"/>
    <w:rsid w:val="002E1D9D"/>
    <w:rsid w:val="002F238D"/>
    <w:rsid w:val="00341322"/>
    <w:rsid w:val="003417C9"/>
    <w:rsid w:val="00384F1B"/>
    <w:rsid w:val="0039750C"/>
    <w:rsid w:val="003B17B9"/>
    <w:rsid w:val="003B59B9"/>
    <w:rsid w:val="003E2D8F"/>
    <w:rsid w:val="003E66A0"/>
    <w:rsid w:val="00405718"/>
    <w:rsid w:val="004353D5"/>
    <w:rsid w:val="00447A97"/>
    <w:rsid w:val="0045099F"/>
    <w:rsid w:val="00451765"/>
    <w:rsid w:val="004759D5"/>
    <w:rsid w:val="00491F92"/>
    <w:rsid w:val="004B363F"/>
    <w:rsid w:val="004E594F"/>
    <w:rsid w:val="004F24C2"/>
    <w:rsid w:val="004F6234"/>
    <w:rsid w:val="00516A54"/>
    <w:rsid w:val="005231A8"/>
    <w:rsid w:val="005308DC"/>
    <w:rsid w:val="00551077"/>
    <w:rsid w:val="0055683F"/>
    <w:rsid w:val="00573C6E"/>
    <w:rsid w:val="005A203B"/>
    <w:rsid w:val="005C2B5B"/>
    <w:rsid w:val="005D11FF"/>
    <w:rsid w:val="005E07E4"/>
    <w:rsid w:val="005E1AE5"/>
    <w:rsid w:val="005F1E46"/>
    <w:rsid w:val="005F2F4B"/>
    <w:rsid w:val="005F5268"/>
    <w:rsid w:val="00603368"/>
    <w:rsid w:val="0062728A"/>
    <w:rsid w:val="00640455"/>
    <w:rsid w:val="0064486F"/>
    <w:rsid w:val="0064636B"/>
    <w:rsid w:val="0065255E"/>
    <w:rsid w:val="00670F32"/>
    <w:rsid w:val="00672737"/>
    <w:rsid w:val="00677FC2"/>
    <w:rsid w:val="0068081F"/>
    <w:rsid w:val="006929B7"/>
    <w:rsid w:val="006A61D8"/>
    <w:rsid w:val="006C1F54"/>
    <w:rsid w:val="006E1297"/>
    <w:rsid w:val="006F6C7D"/>
    <w:rsid w:val="00702CE8"/>
    <w:rsid w:val="00705F1B"/>
    <w:rsid w:val="007132C5"/>
    <w:rsid w:val="00715C92"/>
    <w:rsid w:val="00720170"/>
    <w:rsid w:val="0074463F"/>
    <w:rsid w:val="00757896"/>
    <w:rsid w:val="00781459"/>
    <w:rsid w:val="00786024"/>
    <w:rsid w:val="007A594E"/>
    <w:rsid w:val="007E016D"/>
    <w:rsid w:val="007F0405"/>
    <w:rsid w:val="00805C36"/>
    <w:rsid w:val="00816DE6"/>
    <w:rsid w:val="00843934"/>
    <w:rsid w:val="008849D2"/>
    <w:rsid w:val="008B3842"/>
    <w:rsid w:val="008D5D3D"/>
    <w:rsid w:val="008E3CA4"/>
    <w:rsid w:val="008E53F5"/>
    <w:rsid w:val="008F435C"/>
    <w:rsid w:val="009245FE"/>
    <w:rsid w:val="009350C5"/>
    <w:rsid w:val="009417BA"/>
    <w:rsid w:val="00955AF6"/>
    <w:rsid w:val="00963909"/>
    <w:rsid w:val="00972A09"/>
    <w:rsid w:val="00976502"/>
    <w:rsid w:val="0098356E"/>
    <w:rsid w:val="009900AA"/>
    <w:rsid w:val="009B16CE"/>
    <w:rsid w:val="009C50FD"/>
    <w:rsid w:val="009E124A"/>
    <w:rsid w:val="009E53C3"/>
    <w:rsid w:val="009E6BF1"/>
    <w:rsid w:val="00A02135"/>
    <w:rsid w:val="00A07CA7"/>
    <w:rsid w:val="00A457F1"/>
    <w:rsid w:val="00A56349"/>
    <w:rsid w:val="00A64CF5"/>
    <w:rsid w:val="00A857E9"/>
    <w:rsid w:val="00A871E8"/>
    <w:rsid w:val="00AC6007"/>
    <w:rsid w:val="00AD2782"/>
    <w:rsid w:val="00AD67DC"/>
    <w:rsid w:val="00AF33DD"/>
    <w:rsid w:val="00AF41BF"/>
    <w:rsid w:val="00B13A2A"/>
    <w:rsid w:val="00B21771"/>
    <w:rsid w:val="00B61263"/>
    <w:rsid w:val="00B64BB6"/>
    <w:rsid w:val="00B66C9C"/>
    <w:rsid w:val="00B81F13"/>
    <w:rsid w:val="00B879AE"/>
    <w:rsid w:val="00BA5FCA"/>
    <w:rsid w:val="00BB1ED2"/>
    <w:rsid w:val="00BC5BE1"/>
    <w:rsid w:val="00C06EA8"/>
    <w:rsid w:val="00C222B0"/>
    <w:rsid w:val="00C22847"/>
    <w:rsid w:val="00C22AA1"/>
    <w:rsid w:val="00C260B3"/>
    <w:rsid w:val="00C3480F"/>
    <w:rsid w:val="00C50507"/>
    <w:rsid w:val="00C54B82"/>
    <w:rsid w:val="00C611BF"/>
    <w:rsid w:val="00C73C2B"/>
    <w:rsid w:val="00C8054F"/>
    <w:rsid w:val="00CB00E8"/>
    <w:rsid w:val="00CB173F"/>
    <w:rsid w:val="00CC0E7F"/>
    <w:rsid w:val="00CD03DB"/>
    <w:rsid w:val="00CD669C"/>
    <w:rsid w:val="00CF3A2D"/>
    <w:rsid w:val="00D032CA"/>
    <w:rsid w:val="00D222B2"/>
    <w:rsid w:val="00D5063A"/>
    <w:rsid w:val="00D53738"/>
    <w:rsid w:val="00D560D5"/>
    <w:rsid w:val="00D846F0"/>
    <w:rsid w:val="00DC4722"/>
    <w:rsid w:val="00DD0A86"/>
    <w:rsid w:val="00DD755A"/>
    <w:rsid w:val="00DE26CF"/>
    <w:rsid w:val="00DE5BF1"/>
    <w:rsid w:val="00DF3622"/>
    <w:rsid w:val="00DF5935"/>
    <w:rsid w:val="00E0001B"/>
    <w:rsid w:val="00E06CB3"/>
    <w:rsid w:val="00E17E76"/>
    <w:rsid w:val="00E4658C"/>
    <w:rsid w:val="00E535C2"/>
    <w:rsid w:val="00E60409"/>
    <w:rsid w:val="00E7385A"/>
    <w:rsid w:val="00E746EA"/>
    <w:rsid w:val="00E869B1"/>
    <w:rsid w:val="00E902E6"/>
    <w:rsid w:val="00EA5C36"/>
    <w:rsid w:val="00EB4EE3"/>
    <w:rsid w:val="00EC358A"/>
    <w:rsid w:val="00EC639A"/>
    <w:rsid w:val="00EC73E8"/>
    <w:rsid w:val="00ED47E4"/>
    <w:rsid w:val="00EE6D8D"/>
    <w:rsid w:val="00F022DF"/>
    <w:rsid w:val="00F16921"/>
    <w:rsid w:val="00F7198D"/>
    <w:rsid w:val="00F73EDC"/>
    <w:rsid w:val="00F84FC6"/>
    <w:rsid w:val="00F95A95"/>
    <w:rsid w:val="00FB12A1"/>
    <w:rsid w:val="00FB1817"/>
    <w:rsid w:val="00FE7AD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DB25596"/>
  <w15:chartTrackingRefBased/>
  <w15:docId w15:val="{1BDAF5BA-C0D3-497F-9FAF-DA1EE8A405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5">
    <w:lsdException w:name="Normal" w:uiPriority="0" w:qFormat="1"/>
    <w:lsdException w:name="heading 1" w:semiHidden="1" w:uiPriority="0" w:unhideWhenUsed="1"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0"/>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98"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0">
    <w:name w:val="Normal"/>
    <w:qFormat/>
    <w:rsid w:val="00972A09"/>
    <w:pPr>
      <w:widowControl w:val="0"/>
    </w:pPr>
    <w:rPr>
      <w:kern w:val="2"/>
      <w:sz w:val="24"/>
      <w:szCs w:val="22"/>
    </w:rPr>
  </w:style>
  <w:style w:type="paragraph" w:styleId="1">
    <w:name w:val="heading 1"/>
    <w:basedOn w:val="a0"/>
    <w:next w:val="a0"/>
    <w:link w:val="10"/>
    <w:qFormat/>
    <w:rsid w:val="00720170"/>
    <w:pPr>
      <w:keepNext/>
      <w:pageBreakBefore/>
      <w:numPr>
        <w:numId w:val="14"/>
      </w:numPr>
      <w:snapToGrid w:val="0"/>
      <w:spacing w:afterLines="50" w:after="120"/>
      <w:outlineLvl w:val="0"/>
    </w:pPr>
    <w:rPr>
      <w:rFonts w:eastAsia="微軟正黑體"/>
      <w:b/>
      <w:bCs/>
      <w:kern w:val="52"/>
      <w:sz w:val="32"/>
      <w:szCs w:val="32"/>
    </w:rPr>
  </w:style>
  <w:style w:type="paragraph" w:styleId="2">
    <w:name w:val="heading 2"/>
    <w:basedOn w:val="a0"/>
    <w:next w:val="a0"/>
    <w:link w:val="20"/>
    <w:qFormat/>
    <w:rsid w:val="00720170"/>
    <w:pPr>
      <w:keepNext/>
      <w:numPr>
        <w:ilvl w:val="1"/>
        <w:numId w:val="14"/>
      </w:numPr>
      <w:snapToGrid w:val="0"/>
      <w:spacing w:beforeLines="200" w:before="480" w:afterLines="50" w:after="120"/>
      <w:outlineLvl w:val="1"/>
    </w:pPr>
    <w:rPr>
      <w:rFonts w:ascii="Arial" w:eastAsia="微軟正黑體" w:hAnsi="Arial"/>
      <w:b/>
      <w:bCs/>
      <w:sz w:val="28"/>
      <w:szCs w:val="28"/>
    </w:rPr>
  </w:style>
  <w:style w:type="paragraph" w:styleId="3">
    <w:name w:val="heading 3"/>
    <w:basedOn w:val="a0"/>
    <w:next w:val="a0"/>
    <w:link w:val="30"/>
    <w:qFormat/>
    <w:rsid w:val="00720170"/>
    <w:pPr>
      <w:keepNext/>
      <w:numPr>
        <w:ilvl w:val="2"/>
        <w:numId w:val="14"/>
      </w:numPr>
      <w:snapToGrid w:val="0"/>
      <w:spacing w:beforeLines="200" w:before="480" w:afterLines="50" w:after="120"/>
      <w:outlineLvl w:val="2"/>
    </w:pPr>
    <w:rPr>
      <w:rFonts w:ascii="Arial" w:eastAsia="微軟正黑體" w:hAnsi="Arial"/>
      <w:b/>
      <w:bCs/>
    </w:rPr>
  </w:style>
  <w:style w:type="paragraph" w:styleId="4">
    <w:name w:val="heading 4"/>
    <w:basedOn w:val="a0"/>
    <w:next w:val="a0"/>
    <w:link w:val="40"/>
    <w:qFormat/>
    <w:rsid w:val="00720170"/>
    <w:pPr>
      <w:keepNext/>
      <w:numPr>
        <w:ilvl w:val="3"/>
        <w:numId w:val="14"/>
      </w:numPr>
      <w:snapToGrid w:val="0"/>
      <w:spacing w:beforeLines="200" w:before="480" w:afterLines="50" w:after="120"/>
      <w:outlineLvl w:val="3"/>
    </w:pPr>
    <w:rPr>
      <w:rFonts w:ascii="Arial" w:eastAsia="微軟正黑體" w:hAnsi="Arial"/>
      <w:b/>
      <w:szCs w:val="36"/>
    </w:rPr>
  </w:style>
  <w:style w:type="character" w:default="1" w:styleId="a1">
    <w:name w:val="Default Paragraph Font"/>
    <w:uiPriority w:val="1"/>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unhideWhenUsed/>
    <w:rsid w:val="00955AF6"/>
    <w:pPr>
      <w:tabs>
        <w:tab w:val="center" w:pos="4153"/>
        <w:tab w:val="right" w:pos="8306"/>
      </w:tabs>
      <w:snapToGrid w:val="0"/>
    </w:pPr>
    <w:rPr>
      <w:sz w:val="20"/>
      <w:szCs w:val="20"/>
    </w:rPr>
  </w:style>
  <w:style w:type="character" w:customStyle="1" w:styleId="a5">
    <w:name w:val="頁首 字元"/>
    <w:link w:val="a4"/>
    <w:uiPriority w:val="99"/>
    <w:rsid w:val="00972A09"/>
    <w:rPr>
      <w:kern w:val="2"/>
    </w:rPr>
  </w:style>
  <w:style w:type="paragraph" w:styleId="a6">
    <w:name w:val="footer"/>
    <w:basedOn w:val="a0"/>
    <w:link w:val="a7"/>
    <w:uiPriority w:val="99"/>
    <w:unhideWhenUsed/>
    <w:rsid w:val="00955AF6"/>
    <w:pPr>
      <w:tabs>
        <w:tab w:val="center" w:pos="4153"/>
        <w:tab w:val="right" w:pos="8306"/>
      </w:tabs>
      <w:snapToGrid w:val="0"/>
    </w:pPr>
    <w:rPr>
      <w:sz w:val="20"/>
      <w:szCs w:val="20"/>
    </w:rPr>
  </w:style>
  <w:style w:type="character" w:customStyle="1" w:styleId="a7">
    <w:name w:val="頁尾 字元"/>
    <w:link w:val="a6"/>
    <w:uiPriority w:val="99"/>
    <w:rsid w:val="00972A09"/>
    <w:rPr>
      <w:kern w:val="2"/>
    </w:rPr>
  </w:style>
  <w:style w:type="paragraph" w:customStyle="1" w:styleId="01">
    <w:name w:val="01_中文題目"/>
    <w:basedOn w:val="a0"/>
    <w:next w:val="a0"/>
    <w:rsid w:val="0062728A"/>
    <w:pPr>
      <w:snapToGrid w:val="0"/>
      <w:spacing w:line="520" w:lineRule="exact"/>
      <w:jc w:val="center"/>
    </w:pPr>
    <w:rPr>
      <w:rFonts w:ascii="微軟正黑體" w:eastAsia="微軟正黑體" w:hAnsi="微軟正黑體" w:cs="新細明體"/>
      <w:b/>
      <w:bCs/>
      <w:snapToGrid w:val="0"/>
      <w:sz w:val="36"/>
      <w:szCs w:val="20"/>
    </w:rPr>
  </w:style>
  <w:style w:type="paragraph" w:customStyle="1" w:styleId="02">
    <w:name w:val="02_英文題目"/>
    <w:basedOn w:val="a0"/>
    <w:rsid w:val="0062728A"/>
    <w:pPr>
      <w:snapToGrid w:val="0"/>
      <w:spacing w:afterLines="100" w:after="360"/>
      <w:jc w:val="center"/>
    </w:pPr>
    <w:rPr>
      <w:rFonts w:ascii="Microsoft Himalaya" w:hAnsi="Microsoft Himalaya" w:cs="Microsoft Himalaya"/>
      <w:sz w:val="22"/>
      <w:szCs w:val="20"/>
    </w:rPr>
  </w:style>
  <w:style w:type="paragraph" w:customStyle="1" w:styleId="03">
    <w:name w:val="03_作者服務單位"/>
    <w:basedOn w:val="a0"/>
    <w:rsid w:val="00CC0E7F"/>
    <w:pPr>
      <w:adjustRightInd w:val="0"/>
      <w:snapToGrid w:val="0"/>
      <w:spacing w:line="220" w:lineRule="exact"/>
      <w:jc w:val="right"/>
    </w:pPr>
    <w:rPr>
      <w:rFonts w:ascii="Times New Roman" w:eastAsia="微軟正黑體 Light" w:hAnsi="Times New Roman"/>
      <w:sz w:val="18"/>
      <w:szCs w:val="20"/>
    </w:rPr>
  </w:style>
  <w:style w:type="paragraph" w:customStyle="1" w:styleId="04--">
    <w:name w:val="04_摘要標題--中英文"/>
    <w:basedOn w:val="a0"/>
    <w:rsid w:val="00CC0E7F"/>
    <w:pPr>
      <w:adjustRightInd w:val="0"/>
      <w:snapToGrid w:val="0"/>
      <w:spacing w:beforeLines="50" w:before="180" w:after="120"/>
      <w:jc w:val="center"/>
    </w:pPr>
    <w:rPr>
      <w:rFonts w:ascii="Times New Roman" w:eastAsia="微軟正黑體" w:hAnsi="Times New Roman"/>
      <w:b/>
      <w:bCs/>
      <w:sz w:val="28"/>
      <w:szCs w:val="28"/>
    </w:rPr>
  </w:style>
  <w:style w:type="paragraph" w:customStyle="1" w:styleId="05">
    <w:name w:val="05_中英文摘要"/>
    <w:basedOn w:val="a0"/>
    <w:rsid w:val="00CC0E7F"/>
    <w:pPr>
      <w:snapToGrid w:val="0"/>
      <w:spacing w:after="120" w:line="320" w:lineRule="atLeast"/>
      <w:jc w:val="both"/>
    </w:pPr>
    <w:rPr>
      <w:rFonts w:ascii="Times New Roman" w:eastAsia="微軟正黑體 Light" w:hAnsi="Times New Roman"/>
      <w:snapToGrid w:val="0"/>
      <w:spacing w:val="-4"/>
      <w:szCs w:val="24"/>
    </w:rPr>
  </w:style>
  <w:style w:type="paragraph" w:customStyle="1" w:styleId="06">
    <w:name w:val="06_關鍵字"/>
    <w:basedOn w:val="a0"/>
    <w:rsid w:val="00CC0E7F"/>
    <w:pPr>
      <w:adjustRightInd w:val="0"/>
      <w:snapToGrid w:val="0"/>
      <w:spacing w:before="120" w:after="120"/>
    </w:pPr>
    <w:rPr>
      <w:rFonts w:ascii="Times New Roman" w:eastAsia="微軟正黑體" w:hAnsi="Times New Roman"/>
      <w:b/>
      <w:bCs/>
      <w:spacing w:val="-4"/>
      <w:szCs w:val="28"/>
    </w:rPr>
  </w:style>
  <w:style w:type="paragraph" w:customStyle="1" w:styleId="07">
    <w:name w:val="07_頁首"/>
    <w:basedOn w:val="a4"/>
    <w:qFormat/>
    <w:rsid w:val="00CC0E7F"/>
    <w:pPr>
      <w:tabs>
        <w:tab w:val="clear" w:pos="4153"/>
        <w:tab w:val="clear" w:pos="8306"/>
        <w:tab w:val="right" w:pos="9356"/>
      </w:tabs>
      <w:textAlignment w:val="top"/>
    </w:pPr>
    <w:rPr>
      <w:rFonts w:eastAsia="標楷體"/>
    </w:rPr>
  </w:style>
  <w:style w:type="paragraph" w:customStyle="1" w:styleId="07http">
    <w:name w:val="07_頁首_http"/>
    <w:basedOn w:val="07"/>
    <w:qFormat/>
    <w:rsid w:val="00CC0E7F"/>
    <w:pPr>
      <w:pBdr>
        <w:bottom w:val="single" w:sz="4" w:space="1" w:color="auto"/>
      </w:pBdr>
    </w:pPr>
    <w:rPr>
      <w:color w:val="000000"/>
      <w:position w:val="24"/>
      <w:sz w:val="18"/>
    </w:rPr>
  </w:style>
  <w:style w:type="character" w:customStyle="1" w:styleId="070">
    <w:name w:val="07_頁首_第一頁_字元"/>
    <w:uiPriority w:val="1"/>
    <w:qFormat/>
    <w:rsid w:val="00CC0E7F"/>
    <w:rPr>
      <w:rFonts w:ascii="Lucida Fax" w:hAnsi="Lucida Fax"/>
      <w:i/>
      <w:sz w:val="16"/>
    </w:rPr>
  </w:style>
  <w:style w:type="paragraph" w:customStyle="1" w:styleId="071">
    <w:name w:val="07_頁首_第二頁"/>
    <w:basedOn w:val="a4"/>
    <w:qFormat/>
    <w:rsid w:val="00CC0E7F"/>
    <w:pPr>
      <w:pBdr>
        <w:bottom w:val="single" w:sz="4" w:space="1" w:color="auto"/>
      </w:pBdr>
      <w:tabs>
        <w:tab w:val="clear" w:pos="8306"/>
        <w:tab w:val="right" w:pos="9356"/>
      </w:tabs>
      <w:jc w:val="right"/>
    </w:pPr>
    <w:rPr>
      <w:rFonts w:ascii="Lucida Fax" w:hAnsi="Lucida Fax"/>
      <w:i/>
      <w:position w:val="12"/>
      <w:sz w:val="18"/>
    </w:rPr>
  </w:style>
  <w:style w:type="character" w:customStyle="1" w:styleId="072">
    <w:name w:val="07_頁首_第二頁_字元"/>
    <w:uiPriority w:val="1"/>
    <w:qFormat/>
    <w:rsid w:val="00CC0E7F"/>
    <w:rPr>
      <w:rFonts w:ascii="Lucida Fax" w:hAnsi="Lucida Fax"/>
      <w:i/>
      <w:sz w:val="16"/>
    </w:rPr>
  </w:style>
  <w:style w:type="paragraph" w:customStyle="1" w:styleId="08">
    <w:name w:val="08_圖標題"/>
    <w:basedOn w:val="a0"/>
    <w:qFormat/>
    <w:rsid w:val="00AF33DD"/>
    <w:pPr>
      <w:widowControl/>
      <w:adjustRightInd w:val="0"/>
      <w:snapToGrid w:val="0"/>
      <w:spacing w:beforeLines="20" w:before="72" w:afterLines="50" w:after="180"/>
      <w:ind w:left="500" w:hangingChars="250" w:hanging="500"/>
      <w:jc w:val="center"/>
    </w:pPr>
    <w:rPr>
      <w:b/>
      <w:sz w:val="20"/>
      <w:szCs w:val="20"/>
    </w:rPr>
  </w:style>
  <w:style w:type="paragraph" w:customStyle="1" w:styleId="080">
    <w:name w:val="08_圖"/>
    <w:basedOn w:val="08"/>
    <w:qFormat/>
    <w:rsid w:val="00C22AA1"/>
    <w:pPr>
      <w:spacing w:beforeLines="0" w:before="0" w:afterLines="0" w:after="0"/>
    </w:pPr>
  </w:style>
  <w:style w:type="paragraph" w:customStyle="1" w:styleId="08left">
    <w:name w:val="08_圖標題_left"/>
    <w:basedOn w:val="a0"/>
    <w:qFormat/>
    <w:rsid w:val="00CC0E7F"/>
    <w:pPr>
      <w:widowControl/>
      <w:adjustRightInd w:val="0"/>
      <w:snapToGrid w:val="0"/>
      <w:spacing w:afterLines="50" w:after="180"/>
      <w:ind w:left="480" w:hangingChars="240" w:hanging="480"/>
    </w:pPr>
    <w:rPr>
      <w:rFonts w:cs="新細明體"/>
      <w:b/>
      <w:bCs/>
      <w:sz w:val="20"/>
      <w:szCs w:val="20"/>
    </w:rPr>
  </w:style>
  <w:style w:type="paragraph" w:customStyle="1" w:styleId="081">
    <w:name w:val="08_圖標題_左"/>
    <w:basedOn w:val="08"/>
    <w:qFormat/>
    <w:rsid w:val="00CC0E7F"/>
    <w:pPr>
      <w:jc w:val="left"/>
    </w:pPr>
  </w:style>
  <w:style w:type="paragraph" w:customStyle="1" w:styleId="09">
    <w:name w:val="09_表標題"/>
    <w:basedOn w:val="a0"/>
    <w:qFormat/>
    <w:rsid w:val="00CC0E7F"/>
    <w:pPr>
      <w:snapToGrid w:val="0"/>
      <w:spacing w:before="120"/>
    </w:pPr>
    <w:rPr>
      <w:b/>
      <w:bCs/>
      <w:noProof/>
      <w:sz w:val="20"/>
      <w:szCs w:val="24"/>
    </w:rPr>
  </w:style>
  <w:style w:type="paragraph" w:customStyle="1" w:styleId="100">
    <w:name w:val="10_頁尾"/>
    <w:basedOn w:val="a6"/>
    <w:qFormat/>
    <w:rsid w:val="00CC0E7F"/>
    <w:pPr>
      <w:pBdr>
        <w:top w:val="single" w:sz="4" w:space="6" w:color="auto"/>
      </w:pBdr>
      <w:jc w:val="center"/>
    </w:pPr>
    <w:rPr>
      <w:rFonts w:eastAsia="Calibri"/>
      <w:position w:val="12"/>
      <w:lang w:val="x-none" w:eastAsia="x-none"/>
    </w:rPr>
  </w:style>
  <w:style w:type="paragraph" w:customStyle="1" w:styleId="110">
    <w:name w:val="11_0_標題"/>
    <w:basedOn w:val="a0"/>
    <w:qFormat/>
    <w:rsid w:val="00142F48"/>
    <w:pPr>
      <w:snapToGrid w:val="0"/>
      <w:spacing w:beforeLines="100" w:before="360" w:afterLines="50" w:after="180"/>
    </w:pPr>
    <w:rPr>
      <w:rFonts w:ascii="Times New Roman" w:eastAsia="微軟正黑體" w:hAnsi="Times New Roman"/>
      <w:b/>
      <w:kern w:val="0"/>
      <w:sz w:val="26"/>
      <w:szCs w:val="24"/>
    </w:rPr>
  </w:style>
  <w:style w:type="paragraph" w:customStyle="1" w:styleId="110First">
    <w:name w:val="11_0_標題_First"/>
    <w:basedOn w:val="110"/>
    <w:qFormat/>
    <w:rsid w:val="00CC0E7F"/>
    <w:pPr>
      <w:spacing w:beforeLines="0" w:before="0"/>
    </w:pPr>
  </w:style>
  <w:style w:type="paragraph" w:customStyle="1" w:styleId="111">
    <w:name w:val="11_1_次標題"/>
    <w:basedOn w:val="a0"/>
    <w:qFormat/>
    <w:rsid w:val="00CC0E7F"/>
    <w:pPr>
      <w:snapToGrid w:val="0"/>
      <w:spacing w:beforeLines="50" w:before="180" w:after="120"/>
    </w:pPr>
    <w:rPr>
      <w:rFonts w:eastAsia="微軟正黑體"/>
      <w:b/>
      <w:spacing w:val="-1"/>
      <w:kern w:val="0"/>
      <w:sz w:val="22"/>
      <w:szCs w:val="20"/>
    </w:rPr>
  </w:style>
  <w:style w:type="paragraph" w:customStyle="1" w:styleId="12Text">
    <w:name w:val="12_Text"/>
    <w:basedOn w:val="a0"/>
    <w:qFormat/>
    <w:rsid w:val="00972A09"/>
    <w:pPr>
      <w:snapToGrid w:val="0"/>
      <w:spacing w:after="120" w:line="320" w:lineRule="atLeast"/>
      <w:ind w:firstLineChars="200" w:firstLine="400"/>
      <w:jc w:val="both"/>
    </w:pPr>
    <w:rPr>
      <w:rFonts w:ascii="Times New Roman" w:hAnsi="Times New Roman"/>
      <w:sz w:val="20"/>
      <w:szCs w:val="24"/>
      <w:lang w:eastAsia="zh-CN"/>
    </w:rPr>
  </w:style>
  <w:style w:type="paragraph" w:customStyle="1" w:styleId="12Textleft">
    <w:name w:val="12_Text_left"/>
    <w:basedOn w:val="12Text"/>
    <w:qFormat/>
    <w:rsid w:val="00CC0E7F"/>
    <w:pPr>
      <w:ind w:firstLineChars="0" w:firstLine="0"/>
    </w:pPr>
    <w:rPr>
      <w:rFonts w:hAnsi="新細明體"/>
    </w:rPr>
  </w:style>
  <w:style w:type="character" w:customStyle="1" w:styleId="13">
    <w:name w:val="13_上標"/>
    <w:uiPriority w:val="1"/>
    <w:rsid w:val="00CC0E7F"/>
    <w:rPr>
      <w:vertAlign w:val="superscript"/>
    </w:rPr>
  </w:style>
  <w:style w:type="paragraph" w:customStyle="1" w:styleId="14TableTitle">
    <w:name w:val="14_Table_Title"/>
    <w:basedOn w:val="a0"/>
    <w:rsid w:val="00CC0E7F"/>
    <w:pPr>
      <w:snapToGrid w:val="0"/>
      <w:spacing w:line="400" w:lineRule="atLeast"/>
    </w:pPr>
    <w:rPr>
      <w:rFonts w:ascii="Times New Roman" w:hAnsi="Times New Roman" w:cs="新細明體"/>
      <w:sz w:val="20"/>
      <w:szCs w:val="20"/>
    </w:rPr>
  </w:style>
  <w:style w:type="paragraph" w:customStyle="1" w:styleId="15Tabletext">
    <w:name w:val="15_Table_text"/>
    <w:basedOn w:val="a0"/>
    <w:rsid w:val="00CC0E7F"/>
    <w:pPr>
      <w:snapToGrid w:val="0"/>
    </w:pPr>
    <w:rPr>
      <w:rFonts w:ascii="Times New Roman" w:hAnsi="Times New Roman"/>
      <w:sz w:val="20"/>
      <w:szCs w:val="24"/>
      <w:lang w:eastAsia="zh-CN"/>
    </w:rPr>
  </w:style>
  <w:style w:type="paragraph" w:customStyle="1" w:styleId="16ref">
    <w:name w:val="16_ref"/>
    <w:basedOn w:val="a8"/>
    <w:rsid w:val="00CC0E7F"/>
    <w:pPr>
      <w:numPr>
        <w:numId w:val="11"/>
      </w:numPr>
      <w:snapToGrid w:val="0"/>
      <w:spacing w:line="320" w:lineRule="atLeast"/>
    </w:pPr>
    <w:rPr>
      <w:rFonts w:ascii="Times New Roman" w:hAnsi="Times New Roman" w:cs="新細明體"/>
      <w:sz w:val="20"/>
      <w:szCs w:val="20"/>
      <w:lang w:eastAsia="zh-CN"/>
    </w:rPr>
  </w:style>
  <w:style w:type="paragraph" w:styleId="a8">
    <w:name w:val="List Paragraph"/>
    <w:basedOn w:val="a0"/>
    <w:uiPriority w:val="98"/>
    <w:unhideWhenUsed/>
    <w:qFormat/>
    <w:rsid w:val="00CC0E7F"/>
    <w:pPr>
      <w:ind w:left="720"/>
    </w:pPr>
  </w:style>
  <w:style w:type="paragraph" w:customStyle="1" w:styleId="17">
    <w:name w:val="17_註"/>
    <w:basedOn w:val="a0"/>
    <w:qFormat/>
    <w:rsid w:val="00CC0E7F"/>
    <w:pPr>
      <w:snapToGrid w:val="0"/>
      <w:spacing w:line="200" w:lineRule="atLeast"/>
      <w:jc w:val="both"/>
    </w:pPr>
    <w:rPr>
      <w:rFonts w:ascii="Times New Roman" w:hAnsi="Times New Roman"/>
      <w:sz w:val="18"/>
      <w:szCs w:val="20"/>
    </w:rPr>
  </w:style>
  <w:style w:type="paragraph" w:customStyle="1" w:styleId="A02">
    <w:name w:val="A0_本文_內文縮2字"/>
    <w:basedOn w:val="a0"/>
    <w:next w:val="a0"/>
    <w:qFormat/>
    <w:rsid w:val="00285F43"/>
    <w:pPr>
      <w:snapToGrid w:val="0"/>
      <w:spacing w:afterLines="50" w:after="120" w:line="440" w:lineRule="atLeast"/>
      <w:ind w:firstLineChars="200" w:firstLine="496"/>
      <w:jc w:val="both"/>
    </w:pPr>
    <w:rPr>
      <w:snapToGrid w:val="0"/>
      <w:spacing w:val="4"/>
      <w:kern w:val="0"/>
    </w:rPr>
  </w:style>
  <w:style w:type="character" w:customStyle="1" w:styleId="10">
    <w:name w:val="標題 1 字元"/>
    <w:link w:val="1"/>
    <w:rsid w:val="00720170"/>
    <w:rPr>
      <w:rFonts w:eastAsia="微軟正黑體"/>
      <w:b/>
      <w:bCs/>
      <w:kern w:val="52"/>
      <w:sz w:val="32"/>
      <w:szCs w:val="32"/>
    </w:rPr>
  </w:style>
  <w:style w:type="character" w:customStyle="1" w:styleId="20">
    <w:name w:val="標題 2 字元"/>
    <w:link w:val="2"/>
    <w:rsid w:val="00720170"/>
    <w:rPr>
      <w:rFonts w:ascii="Arial" w:eastAsia="微軟正黑體" w:hAnsi="Arial"/>
      <w:b/>
      <w:bCs/>
      <w:kern w:val="2"/>
      <w:sz w:val="28"/>
      <w:szCs w:val="28"/>
    </w:rPr>
  </w:style>
  <w:style w:type="character" w:customStyle="1" w:styleId="30">
    <w:name w:val="標題 3 字元"/>
    <w:link w:val="3"/>
    <w:rsid w:val="00720170"/>
    <w:rPr>
      <w:rFonts w:ascii="Arial" w:eastAsia="微軟正黑體" w:hAnsi="Arial"/>
      <w:b/>
      <w:bCs/>
      <w:kern w:val="2"/>
      <w:sz w:val="24"/>
      <w:szCs w:val="22"/>
    </w:rPr>
  </w:style>
  <w:style w:type="character" w:customStyle="1" w:styleId="40">
    <w:name w:val="標題 4 字元"/>
    <w:link w:val="4"/>
    <w:rsid w:val="00720170"/>
    <w:rPr>
      <w:rFonts w:ascii="Arial" w:eastAsia="微軟正黑體" w:hAnsi="Arial"/>
      <w:b/>
      <w:kern w:val="2"/>
      <w:sz w:val="24"/>
      <w:szCs w:val="36"/>
    </w:rPr>
  </w:style>
  <w:style w:type="paragraph" w:customStyle="1" w:styleId="Table-">
    <w:name w:val="Table - 左"/>
    <w:basedOn w:val="a0"/>
    <w:rsid w:val="00A871E8"/>
    <w:rPr>
      <w:rFonts w:cs="新細明體"/>
      <w:szCs w:val="20"/>
    </w:rPr>
  </w:style>
  <w:style w:type="table" w:styleId="a9">
    <w:name w:val="Table Grid"/>
    <w:basedOn w:val="a2"/>
    <w:rsid w:val="00A871E8"/>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0"/>
    <w:uiPriority w:val="99"/>
    <w:semiHidden/>
    <w:unhideWhenUsed/>
    <w:rsid w:val="00FB12A1"/>
    <w:pPr>
      <w:widowControl/>
      <w:spacing w:before="100" w:beforeAutospacing="1" w:after="100" w:afterAutospacing="1"/>
    </w:pPr>
    <w:rPr>
      <w:rFonts w:ascii="新細明體" w:hAnsi="新細明體" w:cs="新細明體"/>
      <w:kern w:val="0"/>
      <w:szCs w:val="24"/>
    </w:rPr>
  </w:style>
  <w:style w:type="paragraph" w:customStyle="1" w:styleId="B1">
    <w:name w:val="B1_表標題"/>
    <w:basedOn w:val="a0"/>
    <w:next w:val="a0"/>
    <w:rsid w:val="00C260B3"/>
    <w:pPr>
      <w:snapToGrid w:val="0"/>
      <w:spacing w:beforeLines="100"/>
    </w:pPr>
    <w:rPr>
      <w:rFonts w:ascii="微軟正黑體" w:eastAsia="微軟正黑體" w:hAnsi="微軟正黑體"/>
    </w:rPr>
  </w:style>
  <w:style w:type="table" w:customStyle="1" w:styleId="11">
    <w:name w:val="淺色網底1"/>
    <w:basedOn w:val="a2"/>
    <w:uiPriority w:val="60"/>
    <w:rsid w:val="00C260B3"/>
    <w:rPr>
      <w:rFonts w:ascii="Times New Roman" w:hAnsi="Times New Roman"/>
      <w:color w:val="000000"/>
    </w:rPr>
    <w:tblPr>
      <w:tblStyleRowBandSize w:val="1"/>
      <w:tblStyleColBandSize w:val="1"/>
      <w:tblInd w:w="0" w:type="nil"/>
      <w:tblBorders>
        <w:top w:val="single" w:sz="8" w:space="0" w:color="000000"/>
        <w:bottom w:val="single" w:sz="8" w:space="0" w:color="000000"/>
      </w:tblBorders>
    </w:tblPr>
    <w:tblStylePr w:type="firstRow">
      <w:pPr>
        <w:spacing w:beforeLines="0" w:before="0" w:beforeAutospacing="0" w:afterLines="0" w:after="0" w:afterAutospacing="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customStyle="1" w:styleId="Table-0">
    <w:name w:val="Table - 中"/>
    <w:basedOn w:val="a0"/>
    <w:next w:val="a0"/>
    <w:rsid w:val="00AD2782"/>
    <w:pPr>
      <w:jc w:val="center"/>
    </w:pPr>
  </w:style>
  <w:style w:type="table" w:styleId="aa">
    <w:name w:val="Light Shading"/>
    <w:basedOn w:val="a2"/>
    <w:uiPriority w:val="60"/>
    <w:unhideWhenUsed/>
    <w:rsid w:val="00AD2782"/>
    <w:rPr>
      <w:rFonts w:ascii="Times New Roman" w:hAnsi="Times New Roman"/>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customStyle="1" w:styleId="ab">
    <w:name w:val="註"/>
    <w:basedOn w:val="a0"/>
    <w:next w:val="a0"/>
    <w:qFormat/>
    <w:rsid w:val="006A61D8"/>
    <w:pPr>
      <w:snapToGrid w:val="0"/>
      <w:spacing w:line="240" w:lineRule="atLeast"/>
    </w:pPr>
    <w:rPr>
      <w:kern w:val="0"/>
      <w:sz w:val="18"/>
    </w:rPr>
  </w:style>
  <w:style w:type="paragraph" w:customStyle="1" w:styleId="12pt-">
    <w:name w:val="12pt-靠左"/>
    <w:basedOn w:val="a0"/>
    <w:rsid w:val="006A61D8"/>
    <w:pPr>
      <w:spacing w:line="400" w:lineRule="atLeast"/>
    </w:pPr>
    <w:rPr>
      <w:rFonts w:cs="新細明體"/>
      <w:szCs w:val="20"/>
    </w:rPr>
  </w:style>
  <w:style w:type="paragraph" w:customStyle="1" w:styleId="B10">
    <w:name w:val="B1_圖標題"/>
    <w:basedOn w:val="a0"/>
    <w:next w:val="a0"/>
    <w:rsid w:val="00AF33DD"/>
    <w:pPr>
      <w:snapToGrid w:val="0"/>
      <w:spacing w:beforeLines="50" w:before="180" w:afterLines="100" w:after="360"/>
      <w:jc w:val="center"/>
    </w:pPr>
    <w:rPr>
      <w:rFonts w:ascii="微軟正黑體" w:eastAsia="微軟正黑體" w:hAnsi="微軟正黑體"/>
    </w:rPr>
  </w:style>
  <w:style w:type="paragraph" w:customStyle="1" w:styleId="a">
    <w:name w:val="參考文獻"/>
    <w:basedOn w:val="a0"/>
    <w:qFormat/>
    <w:rsid w:val="008E3CA4"/>
    <w:pPr>
      <w:numPr>
        <w:numId w:val="35"/>
      </w:numPr>
      <w:tabs>
        <w:tab w:val="num" w:pos="361"/>
      </w:tabs>
      <w:ind w:leftChars="200" w:left="361" w:hangingChars="200" w:hanging="360"/>
    </w:pPr>
  </w:style>
  <w:style w:type="paragraph" w:customStyle="1" w:styleId="ac">
    <w:name w:val="封面_中文題目"/>
    <w:basedOn w:val="a0"/>
    <w:next w:val="a0"/>
    <w:uiPriority w:val="14"/>
    <w:rsid w:val="002E1D9D"/>
    <w:pPr>
      <w:jc w:val="center"/>
    </w:pPr>
    <w:rPr>
      <w:rFonts w:ascii="微軟正黑體 Light" w:eastAsia="微軟正黑體 Light" w:hAnsi="微軟正黑體 Light" w:cs="微軟正黑體 Light"/>
      <w:b/>
      <w:sz w:val="36"/>
      <w:szCs w:val="36"/>
    </w:rPr>
  </w:style>
  <w:style w:type="paragraph" w:customStyle="1" w:styleId="ad">
    <w:name w:val="封面_英文題目"/>
    <w:basedOn w:val="a0"/>
    <w:qFormat/>
    <w:rsid w:val="002E1D9D"/>
    <w:pPr>
      <w:jc w:val="center"/>
    </w:pPr>
    <w:rPr>
      <w:sz w:val="32"/>
      <w:szCs w:val="32"/>
    </w:rPr>
  </w:style>
  <w:style w:type="paragraph" w:styleId="ae">
    <w:name w:val="caption"/>
    <w:basedOn w:val="a0"/>
    <w:next w:val="a0"/>
    <w:uiPriority w:val="35"/>
    <w:unhideWhenUsed/>
    <w:qFormat/>
    <w:rsid w:val="007F0405"/>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3333633">
      <w:bodyDiv w:val="1"/>
      <w:marLeft w:val="0"/>
      <w:marRight w:val="0"/>
      <w:marTop w:val="0"/>
      <w:marBottom w:val="0"/>
      <w:divBdr>
        <w:top w:val="none" w:sz="0" w:space="0" w:color="auto"/>
        <w:left w:val="none" w:sz="0" w:space="0" w:color="auto"/>
        <w:bottom w:val="none" w:sz="0" w:space="0" w:color="auto"/>
        <w:right w:val="none" w:sz="0" w:space="0" w:color="auto"/>
      </w:divBdr>
    </w:div>
    <w:div w:id="166948504">
      <w:bodyDiv w:val="1"/>
      <w:marLeft w:val="0"/>
      <w:marRight w:val="0"/>
      <w:marTop w:val="0"/>
      <w:marBottom w:val="0"/>
      <w:divBdr>
        <w:top w:val="none" w:sz="0" w:space="0" w:color="auto"/>
        <w:left w:val="none" w:sz="0" w:space="0" w:color="auto"/>
        <w:bottom w:val="none" w:sz="0" w:space="0" w:color="auto"/>
        <w:right w:val="none" w:sz="0" w:space="0" w:color="auto"/>
      </w:divBdr>
    </w:div>
    <w:div w:id="231817706">
      <w:bodyDiv w:val="1"/>
      <w:marLeft w:val="0"/>
      <w:marRight w:val="0"/>
      <w:marTop w:val="0"/>
      <w:marBottom w:val="0"/>
      <w:divBdr>
        <w:top w:val="none" w:sz="0" w:space="0" w:color="auto"/>
        <w:left w:val="none" w:sz="0" w:space="0" w:color="auto"/>
        <w:bottom w:val="none" w:sz="0" w:space="0" w:color="auto"/>
        <w:right w:val="none" w:sz="0" w:space="0" w:color="auto"/>
      </w:divBdr>
    </w:div>
    <w:div w:id="366875786">
      <w:bodyDiv w:val="1"/>
      <w:marLeft w:val="0"/>
      <w:marRight w:val="0"/>
      <w:marTop w:val="0"/>
      <w:marBottom w:val="0"/>
      <w:divBdr>
        <w:top w:val="none" w:sz="0" w:space="0" w:color="auto"/>
        <w:left w:val="none" w:sz="0" w:space="0" w:color="auto"/>
        <w:bottom w:val="none" w:sz="0" w:space="0" w:color="auto"/>
        <w:right w:val="none" w:sz="0" w:space="0" w:color="auto"/>
      </w:divBdr>
    </w:div>
    <w:div w:id="504785351">
      <w:bodyDiv w:val="1"/>
      <w:marLeft w:val="0"/>
      <w:marRight w:val="0"/>
      <w:marTop w:val="0"/>
      <w:marBottom w:val="0"/>
      <w:divBdr>
        <w:top w:val="none" w:sz="0" w:space="0" w:color="auto"/>
        <w:left w:val="none" w:sz="0" w:space="0" w:color="auto"/>
        <w:bottom w:val="none" w:sz="0" w:space="0" w:color="auto"/>
        <w:right w:val="none" w:sz="0" w:space="0" w:color="auto"/>
      </w:divBdr>
    </w:div>
    <w:div w:id="598220127">
      <w:bodyDiv w:val="1"/>
      <w:marLeft w:val="0"/>
      <w:marRight w:val="0"/>
      <w:marTop w:val="0"/>
      <w:marBottom w:val="0"/>
      <w:divBdr>
        <w:top w:val="none" w:sz="0" w:space="0" w:color="auto"/>
        <w:left w:val="none" w:sz="0" w:space="0" w:color="auto"/>
        <w:bottom w:val="none" w:sz="0" w:space="0" w:color="auto"/>
        <w:right w:val="none" w:sz="0" w:space="0" w:color="auto"/>
      </w:divBdr>
    </w:div>
    <w:div w:id="628630157">
      <w:bodyDiv w:val="1"/>
      <w:marLeft w:val="0"/>
      <w:marRight w:val="0"/>
      <w:marTop w:val="0"/>
      <w:marBottom w:val="0"/>
      <w:divBdr>
        <w:top w:val="none" w:sz="0" w:space="0" w:color="auto"/>
        <w:left w:val="none" w:sz="0" w:space="0" w:color="auto"/>
        <w:bottom w:val="none" w:sz="0" w:space="0" w:color="auto"/>
        <w:right w:val="none" w:sz="0" w:space="0" w:color="auto"/>
      </w:divBdr>
    </w:div>
    <w:div w:id="663364635">
      <w:bodyDiv w:val="1"/>
      <w:marLeft w:val="0"/>
      <w:marRight w:val="0"/>
      <w:marTop w:val="0"/>
      <w:marBottom w:val="0"/>
      <w:divBdr>
        <w:top w:val="none" w:sz="0" w:space="0" w:color="auto"/>
        <w:left w:val="none" w:sz="0" w:space="0" w:color="auto"/>
        <w:bottom w:val="none" w:sz="0" w:space="0" w:color="auto"/>
        <w:right w:val="none" w:sz="0" w:space="0" w:color="auto"/>
      </w:divBdr>
    </w:div>
    <w:div w:id="685862824">
      <w:bodyDiv w:val="1"/>
      <w:marLeft w:val="0"/>
      <w:marRight w:val="0"/>
      <w:marTop w:val="0"/>
      <w:marBottom w:val="0"/>
      <w:divBdr>
        <w:top w:val="none" w:sz="0" w:space="0" w:color="auto"/>
        <w:left w:val="none" w:sz="0" w:space="0" w:color="auto"/>
        <w:bottom w:val="none" w:sz="0" w:space="0" w:color="auto"/>
        <w:right w:val="none" w:sz="0" w:space="0" w:color="auto"/>
      </w:divBdr>
    </w:div>
    <w:div w:id="993532899">
      <w:bodyDiv w:val="1"/>
      <w:marLeft w:val="0"/>
      <w:marRight w:val="0"/>
      <w:marTop w:val="0"/>
      <w:marBottom w:val="0"/>
      <w:divBdr>
        <w:top w:val="none" w:sz="0" w:space="0" w:color="auto"/>
        <w:left w:val="none" w:sz="0" w:space="0" w:color="auto"/>
        <w:bottom w:val="none" w:sz="0" w:space="0" w:color="auto"/>
        <w:right w:val="none" w:sz="0" w:space="0" w:color="auto"/>
      </w:divBdr>
    </w:div>
    <w:div w:id="1002853391">
      <w:bodyDiv w:val="1"/>
      <w:marLeft w:val="0"/>
      <w:marRight w:val="0"/>
      <w:marTop w:val="0"/>
      <w:marBottom w:val="0"/>
      <w:divBdr>
        <w:top w:val="none" w:sz="0" w:space="0" w:color="auto"/>
        <w:left w:val="none" w:sz="0" w:space="0" w:color="auto"/>
        <w:bottom w:val="none" w:sz="0" w:space="0" w:color="auto"/>
        <w:right w:val="none" w:sz="0" w:space="0" w:color="auto"/>
      </w:divBdr>
    </w:div>
    <w:div w:id="1101726034">
      <w:bodyDiv w:val="1"/>
      <w:marLeft w:val="0"/>
      <w:marRight w:val="0"/>
      <w:marTop w:val="0"/>
      <w:marBottom w:val="0"/>
      <w:divBdr>
        <w:top w:val="none" w:sz="0" w:space="0" w:color="auto"/>
        <w:left w:val="none" w:sz="0" w:space="0" w:color="auto"/>
        <w:bottom w:val="none" w:sz="0" w:space="0" w:color="auto"/>
        <w:right w:val="none" w:sz="0" w:space="0" w:color="auto"/>
      </w:divBdr>
    </w:div>
    <w:div w:id="1142623482">
      <w:bodyDiv w:val="1"/>
      <w:marLeft w:val="0"/>
      <w:marRight w:val="0"/>
      <w:marTop w:val="0"/>
      <w:marBottom w:val="0"/>
      <w:divBdr>
        <w:top w:val="none" w:sz="0" w:space="0" w:color="auto"/>
        <w:left w:val="none" w:sz="0" w:space="0" w:color="auto"/>
        <w:bottom w:val="none" w:sz="0" w:space="0" w:color="auto"/>
        <w:right w:val="none" w:sz="0" w:space="0" w:color="auto"/>
      </w:divBdr>
    </w:div>
    <w:div w:id="1211847992">
      <w:bodyDiv w:val="1"/>
      <w:marLeft w:val="0"/>
      <w:marRight w:val="0"/>
      <w:marTop w:val="0"/>
      <w:marBottom w:val="0"/>
      <w:divBdr>
        <w:top w:val="none" w:sz="0" w:space="0" w:color="auto"/>
        <w:left w:val="none" w:sz="0" w:space="0" w:color="auto"/>
        <w:bottom w:val="none" w:sz="0" w:space="0" w:color="auto"/>
        <w:right w:val="none" w:sz="0" w:space="0" w:color="auto"/>
      </w:divBdr>
    </w:div>
    <w:div w:id="1458984937">
      <w:bodyDiv w:val="1"/>
      <w:marLeft w:val="0"/>
      <w:marRight w:val="0"/>
      <w:marTop w:val="0"/>
      <w:marBottom w:val="0"/>
      <w:divBdr>
        <w:top w:val="none" w:sz="0" w:space="0" w:color="auto"/>
        <w:left w:val="none" w:sz="0" w:space="0" w:color="auto"/>
        <w:bottom w:val="none" w:sz="0" w:space="0" w:color="auto"/>
        <w:right w:val="none" w:sz="0" w:space="0" w:color="auto"/>
      </w:divBdr>
    </w:div>
    <w:div w:id="1593857693">
      <w:bodyDiv w:val="1"/>
      <w:marLeft w:val="0"/>
      <w:marRight w:val="0"/>
      <w:marTop w:val="0"/>
      <w:marBottom w:val="0"/>
      <w:divBdr>
        <w:top w:val="none" w:sz="0" w:space="0" w:color="auto"/>
        <w:left w:val="none" w:sz="0" w:space="0" w:color="auto"/>
        <w:bottom w:val="none" w:sz="0" w:space="0" w:color="auto"/>
        <w:right w:val="none" w:sz="0" w:space="0" w:color="auto"/>
      </w:divBdr>
    </w:div>
    <w:div w:id="1887719685">
      <w:bodyDiv w:val="1"/>
      <w:marLeft w:val="0"/>
      <w:marRight w:val="0"/>
      <w:marTop w:val="0"/>
      <w:marBottom w:val="0"/>
      <w:divBdr>
        <w:top w:val="none" w:sz="0" w:space="0" w:color="auto"/>
        <w:left w:val="none" w:sz="0" w:space="0" w:color="auto"/>
        <w:bottom w:val="none" w:sz="0" w:space="0" w:color="auto"/>
        <w:right w:val="none" w:sz="0" w:space="0" w:color="auto"/>
      </w:divBdr>
    </w:div>
    <w:div w:id="2003704785">
      <w:bodyDiv w:val="1"/>
      <w:marLeft w:val="0"/>
      <w:marRight w:val="0"/>
      <w:marTop w:val="0"/>
      <w:marBottom w:val="0"/>
      <w:divBdr>
        <w:top w:val="none" w:sz="0" w:space="0" w:color="auto"/>
        <w:left w:val="none" w:sz="0" w:space="0" w:color="auto"/>
        <w:bottom w:val="none" w:sz="0" w:space="0" w:color="auto"/>
        <w:right w:val="none" w:sz="0" w:space="0" w:color="auto"/>
      </w:divBdr>
    </w:div>
    <w:div w:id="2117020311">
      <w:bodyDiv w:val="1"/>
      <w:marLeft w:val="0"/>
      <w:marRight w:val="0"/>
      <w:marTop w:val="0"/>
      <w:marBottom w:val="0"/>
      <w:divBdr>
        <w:top w:val="none" w:sz="0" w:space="0" w:color="auto"/>
        <w:left w:val="none" w:sz="0" w:space="0" w:color="auto"/>
        <w:bottom w:val="none" w:sz="0" w:space="0" w:color="auto"/>
        <w:right w:val="none" w:sz="0" w:space="0" w:color="auto"/>
      </w:divBdr>
    </w:div>
    <w:div w:id="2130008513">
      <w:bodyDiv w:val="1"/>
      <w:marLeft w:val="0"/>
      <w:marRight w:val="0"/>
      <w:marTop w:val="0"/>
      <w:marBottom w:val="0"/>
      <w:divBdr>
        <w:top w:val="none" w:sz="0" w:space="0" w:color="auto"/>
        <w:left w:val="none" w:sz="0" w:space="0" w:color="auto"/>
        <w:bottom w:val="none" w:sz="0" w:space="0" w:color="auto"/>
        <w:right w:val="none" w:sz="0" w:space="0" w:color="auto"/>
      </w:divBdr>
    </w:div>
    <w:div w:id="21307083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chart" Target="charts/chart3.xml"/><Relationship Id="rId18" Type="http://schemas.openxmlformats.org/officeDocument/2006/relationships/chart" Target="charts/chart8.xml"/><Relationship Id="rId3" Type="http://schemas.openxmlformats.org/officeDocument/2006/relationships/styles" Target="styles.xml"/><Relationship Id="rId21" Type="http://schemas.openxmlformats.org/officeDocument/2006/relationships/image" Target="media/image5.emf"/><Relationship Id="rId7" Type="http://schemas.openxmlformats.org/officeDocument/2006/relationships/endnotes" Target="endnotes.xml"/><Relationship Id="rId12" Type="http://schemas.openxmlformats.org/officeDocument/2006/relationships/chart" Target="charts/chart2.xml"/><Relationship Id="rId17" Type="http://schemas.openxmlformats.org/officeDocument/2006/relationships/chart" Target="charts/chart7.xm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chart" Target="charts/chart6.xml"/><Relationship Id="rId20" Type="http://schemas.openxmlformats.org/officeDocument/2006/relationships/chart" Target="charts/chart9.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chart" Target="charts/chart5.xml"/><Relationship Id="rId23" Type="http://schemas.openxmlformats.org/officeDocument/2006/relationships/hyperlink" Target="https://www.sa.gov.tw/News/NewsDetail?Type=3&amp;page=9&amp;id=1963&amp;n=92" TargetMode="External"/><Relationship Id="rId10" Type="http://schemas.openxmlformats.org/officeDocument/2006/relationships/chart" Target="charts/chart1.xml"/><Relationship Id="rId19" Type="http://schemas.openxmlformats.org/officeDocument/2006/relationships/image" Target="media/image4.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chart" Target="charts/chart4.xml"/><Relationship Id="rId22" Type="http://schemas.openxmlformats.org/officeDocument/2006/relationships/hyperlink" Target="https://kknews.cc/zh-tw/sports/vrvvqm2.html" TargetMode="External"/></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oleObject" Target="file:///C:\Users\Administrator\Downloads\&#21555;&#20140;&#20523;&#36939;&#21205;&#38795;&#39006;&#20854;&#21697;&#29260;&#30693;&#35258;&#21644;&#21697;&#29260;&#24418;&#35937;&#23565;&#28040;&#36027;&#32773;&#36092;&#36023;&#34892;&#28858;&#24847;&#39000;&#20043;&#24433;&#38911;%20%20(&#22238;&#25033;)-v1.xlsx" TargetMode="External"/></Relationships>
</file>

<file path=word/charts/_rels/chart2.xml.rels><?xml version="1.0" encoding="UTF-8" standalone="yes"?>
<Relationships xmlns="http://schemas.openxmlformats.org/package/2006/relationships"><Relationship Id="rId3" Type="http://schemas.openxmlformats.org/officeDocument/2006/relationships/themeOverride" Target="../theme/themeOverride2.xml"/><Relationship Id="rId2" Type="http://schemas.microsoft.com/office/2011/relationships/chartColorStyle" Target="colors2.xml"/><Relationship Id="rId1" Type="http://schemas.microsoft.com/office/2011/relationships/chartStyle" Target="style2.xml"/><Relationship Id="rId4" Type="http://schemas.openxmlformats.org/officeDocument/2006/relationships/oleObject" Target="file:///C:\Users\Administrator\Downloads\&#21555;&#20140;&#20523;&#36939;&#21205;&#38795;&#39006;&#20854;&#21697;&#29260;&#30693;&#35258;&#21644;&#21697;&#29260;&#24418;&#35937;&#23565;&#28040;&#36027;&#32773;&#36092;&#36023;&#34892;&#28858;&#24847;&#39000;&#20043;&#24433;&#38911;%20%20(&#22238;&#25033;)-v1.xlsx" TargetMode="External"/></Relationships>
</file>

<file path=word/charts/_rels/chart3.xml.rels><?xml version="1.0" encoding="UTF-8" standalone="yes"?>
<Relationships xmlns="http://schemas.openxmlformats.org/package/2006/relationships"><Relationship Id="rId3" Type="http://schemas.openxmlformats.org/officeDocument/2006/relationships/themeOverride" Target="../theme/themeOverride3.xml"/><Relationship Id="rId2" Type="http://schemas.microsoft.com/office/2011/relationships/chartColorStyle" Target="colors3.xml"/><Relationship Id="rId1" Type="http://schemas.microsoft.com/office/2011/relationships/chartStyle" Target="style3.xml"/><Relationship Id="rId4" Type="http://schemas.openxmlformats.org/officeDocument/2006/relationships/oleObject" Target="file:///C:\Users\Administrator\Downloads\&#21555;&#20140;&#20523;&#36939;&#21205;&#38795;&#39006;&#20854;&#21697;&#29260;&#30693;&#35258;&#21644;&#21697;&#29260;&#24418;&#35937;&#23565;&#28040;&#36027;&#32773;&#36092;&#36023;&#34892;&#28858;&#24847;&#39000;&#20043;&#24433;&#38911;%20%20(&#22238;&#25033;)-v1.xlsx" TargetMode="External"/></Relationships>
</file>

<file path=word/charts/_rels/chart4.xml.rels><?xml version="1.0" encoding="UTF-8" standalone="yes"?>
<Relationships xmlns="http://schemas.openxmlformats.org/package/2006/relationships"><Relationship Id="rId3" Type="http://schemas.openxmlformats.org/officeDocument/2006/relationships/themeOverride" Target="../theme/themeOverride4.xml"/><Relationship Id="rId2" Type="http://schemas.microsoft.com/office/2011/relationships/chartColorStyle" Target="colors4.xml"/><Relationship Id="rId1" Type="http://schemas.microsoft.com/office/2011/relationships/chartStyle" Target="style4.xml"/><Relationship Id="rId4" Type="http://schemas.openxmlformats.org/officeDocument/2006/relationships/oleObject" Target="file:///C:\Users\Administrator\Downloads\&#21555;&#20140;&#20523;&#36939;&#21205;&#38795;&#39006;&#20854;&#21697;&#29260;&#30693;&#35258;&#21644;&#21697;&#29260;&#24418;&#35937;&#23565;&#28040;&#36027;&#32773;&#36092;&#36023;&#34892;&#28858;&#24847;&#39000;&#20043;&#24433;&#38911;%20%20(&#22238;&#25033;)-v1.xlsx" TargetMode="External"/></Relationships>
</file>

<file path=word/charts/_rels/chart5.xml.rels><?xml version="1.0" encoding="UTF-8" standalone="yes"?>
<Relationships xmlns="http://schemas.openxmlformats.org/package/2006/relationships"><Relationship Id="rId3" Type="http://schemas.openxmlformats.org/officeDocument/2006/relationships/themeOverride" Target="../theme/themeOverride5.xml"/><Relationship Id="rId2" Type="http://schemas.microsoft.com/office/2011/relationships/chartColorStyle" Target="colors5.xml"/><Relationship Id="rId1" Type="http://schemas.microsoft.com/office/2011/relationships/chartStyle" Target="style5.xml"/><Relationship Id="rId4" Type="http://schemas.openxmlformats.org/officeDocument/2006/relationships/oleObject" Target="file:///C:\Users\Administrator\Downloads\&#21555;&#20140;&#20523;&#36939;&#21205;&#38795;&#39006;&#20854;&#21697;&#29260;&#30693;&#35258;&#21644;&#21697;&#29260;&#24418;&#35937;&#23565;&#28040;&#36027;&#32773;&#36092;&#36023;&#34892;&#28858;&#24847;&#39000;&#20043;&#24433;&#38911;%20%20(&#22238;&#25033;)-v1.xlsx" TargetMode="External"/></Relationships>
</file>

<file path=word/charts/_rels/chart6.xml.rels><?xml version="1.0" encoding="UTF-8" standalone="yes"?>
<Relationships xmlns="http://schemas.openxmlformats.org/package/2006/relationships"><Relationship Id="rId3" Type="http://schemas.openxmlformats.org/officeDocument/2006/relationships/themeOverride" Target="../theme/themeOverride6.xml"/><Relationship Id="rId2" Type="http://schemas.microsoft.com/office/2011/relationships/chartColorStyle" Target="colors6.xml"/><Relationship Id="rId1" Type="http://schemas.microsoft.com/office/2011/relationships/chartStyle" Target="style6.xml"/><Relationship Id="rId4" Type="http://schemas.openxmlformats.org/officeDocument/2006/relationships/oleObject" Target="file:///C:\Users\Administrator\Downloads\&#21555;&#20140;&#20523;&#36939;&#21205;&#38795;&#39006;&#20854;&#21697;&#29260;&#30693;&#35258;&#21644;&#21697;&#29260;&#24418;&#35937;&#23565;&#28040;&#36027;&#32773;&#36092;&#36023;&#34892;&#28858;&#24847;&#39000;&#20043;&#24433;&#38911;%20%20(&#22238;&#25033;)-v1.xlsx" TargetMode="External"/></Relationships>
</file>

<file path=word/charts/_rels/chart7.xml.rels><?xml version="1.0" encoding="UTF-8" standalone="yes"?>
<Relationships xmlns="http://schemas.openxmlformats.org/package/2006/relationships"><Relationship Id="rId3" Type="http://schemas.openxmlformats.org/officeDocument/2006/relationships/themeOverride" Target="../theme/themeOverride7.xml"/><Relationship Id="rId2" Type="http://schemas.microsoft.com/office/2011/relationships/chartColorStyle" Target="colors7.xml"/><Relationship Id="rId1" Type="http://schemas.microsoft.com/office/2011/relationships/chartStyle" Target="style7.xml"/><Relationship Id="rId4" Type="http://schemas.openxmlformats.org/officeDocument/2006/relationships/oleObject" Target="file:///C:\Users\Administrator\Downloads\&#21555;&#20140;&#20523;&#36939;&#21205;&#38795;&#39006;&#20854;&#21697;&#29260;&#30693;&#35258;&#21644;&#21697;&#29260;&#24418;&#35937;&#23565;&#28040;&#36027;&#32773;&#36092;&#36023;&#34892;&#28858;&#24847;&#39000;&#20043;&#24433;&#38911;%20%20(&#22238;&#25033;)-v1.xlsx" TargetMode="External"/></Relationships>
</file>

<file path=word/charts/_rels/chart8.xml.rels><?xml version="1.0" encoding="UTF-8" standalone="yes"?>
<Relationships xmlns="http://schemas.openxmlformats.org/package/2006/relationships"><Relationship Id="rId3" Type="http://schemas.openxmlformats.org/officeDocument/2006/relationships/themeOverride" Target="../theme/themeOverride8.xml"/><Relationship Id="rId2" Type="http://schemas.microsoft.com/office/2011/relationships/chartColorStyle" Target="colors8.xml"/><Relationship Id="rId1" Type="http://schemas.microsoft.com/office/2011/relationships/chartStyle" Target="style8.xml"/><Relationship Id="rId4" Type="http://schemas.openxmlformats.org/officeDocument/2006/relationships/oleObject" Target="file:///C:\Users\Administrator\Downloads\&#21555;&#20140;&#20523;&#36939;&#21205;&#38795;&#39006;&#20854;&#21697;&#29260;&#30693;&#35258;&#21644;&#21697;&#29260;&#24418;&#35937;&#23565;&#28040;&#36027;&#32773;&#36092;&#36023;&#34892;&#28858;&#24847;&#39000;&#20043;&#24433;&#38911;%20%20(&#22238;&#25033;)-v1.xlsx" TargetMode="External"/></Relationships>
</file>

<file path=word/charts/_rels/chart9.xml.rels><?xml version="1.0" encoding="UTF-8" standalone="yes"?>
<Relationships xmlns="http://schemas.openxmlformats.org/package/2006/relationships"><Relationship Id="rId3" Type="http://schemas.openxmlformats.org/officeDocument/2006/relationships/themeOverride" Target="../theme/themeOverride9.xml"/><Relationship Id="rId2" Type="http://schemas.microsoft.com/office/2011/relationships/chartColorStyle" Target="colors9.xml"/><Relationship Id="rId1" Type="http://schemas.microsoft.com/office/2011/relationships/chartStyle" Target="style9.xml"/><Relationship Id="rId4" Type="http://schemas.openxmlformats.org/officeDocument/2006/relationships/oleObject" Target="file:///C:\Users\Administrator\Downloads\&#21555;&#20140;&#20523;&#36939;&#21205;&#38795;&#39006;&#20854;&#21697;&#29260;&#30693;&#35258;&#21644;&#21697;&#29260;&#24418;&#35937;&#23565;&#28040;&#36027;&#32773;&#36092;&#36023;&#34892;&#28858;&#24847;&#39000;&#20043;&#24433;&#38911;%20%20(&#22238;&#25033;)-v1.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pieChart>
        <c:varyColors val="1"/>
        <c:ser>
          <c:idx val="0"/>
          <c:order val="0"/>
          <c:dPt>
            <c:idx val="0"/>
            <c:bubble3D val="0"/>
            <c:spPr>
              <a:pattFill prst="ltUpDiag">
                <a:fgClr>
                  <a:schemeClr val="accent1"/>
                </a:fgClr>
                <a:bgClr>
                  <a:schemeClr val="accent1">
                    <a:lumMod val="20000"/>
                    <a:lumOff val="80000"/>
                  </a:schemeClr>
                </a:bgClr>
              </a:pattFill>
              <a:ln w="19050">
                <a:solidFill>
                  <a:schemeClr val="lt1"/>
                </a:solidFill>
              </a:ln>
              <a:effectLst>
                <a:innerShdw blurRad="114300">
                  <a:schemeClr val="accent1"/>
                </a:innerShdw>
              </a:effectLst>
            </c:spPr>
            <c:extLst>
              <c:ext xmlns:c16="http://schemas.microsoft.com/office/drawing/2014/chart" uri="{C3380CC4-5D6E-409C-BE32-E72D297353CC}">
                <c16:uniqueId val="{00000001-588B-468B-8F1A-031D6DE88342}"/>
              </c:ext>
            </c:extLst>
          </c:dPt>
          <c:dPt>
            <c:idx val="1"/>
            <c:bubble3D val="0"/>
            <c:spPr>
              <a:pattFill prst="ltUpDiag">
                <a:fgClr>
                  <a:schemeClr val="accent2"/>
                </a:fgClr>
                <a:bgClr>
                  <a:schemeClr val="accent2">
                    <a:lumMod val="20000"/>
                    <a:lumOff val="80000"/>
                  </a:schemeClr>
                </a:bgClr>
              </a:pattFill>
              <a:ln w="19050">
                <a:solidFill>
                  <a:schemeClr val="lt1"/>
                </a:solidFill>
              </a:ln>
              <a:effectLst>
                <a:innerShdw blurRad="114300">
                  <a:schemeClr val="accent2"/>
                </a:innerShdw>
              </a:effectLst>
            </c:spPr>
            <c:extLst>
              <c:ext xmlns:c16="http://schemas.microsoft.com/office/drawing/2014/chart" uri="{C3380CC4-5D6E-409C-BE32-E72D297353CC}">
                <c16:uniqueId val="{00000003-588B-468B-8F1A-031D6DE88342}"/>
              </c:ext>
            </c:extLst>
          </c:dPt>
          <c:dPt>
            <c:idx val="2"/>
            <c:bubble3D val="0"/>
            <c:spPr>
              <a:pattFill prst="ltUpDiag">
                <a:fgClr>
                  <a:schemeClr val="accent3"/>
                </a:fgClr>
                <a:bgClr>
                  <a:schemeClr val="accent3">
                    <a:lumMod val="20000"/>
                    <a:lumOff val="80000"/>
                  </a:schemeClr>
                </a:bgClr>
              </a:pattFill>
              <a:ln w="19050">
                <a:solidFill>
                  <a:schemeClr val="lt1"/>
                </a:solidFill>
              </a:ln>
              <a:effectLst>
                <a:innerShdw blurRad="114300">
                  <a:schemeClr val="accent3"/>
                </a:innerShdw>
              </a:effectLst>
            </c:spPr>
            <c:extLst>
              <c:ext xmlns:c16="http://schemas.microsoft.com/office/drawing/2014/chart" uri="{C3380CC4-5D6E-409C-BE32-E72D297353CC}">
                <c16:uniqueId val="{00000005-588B-468B-8F1A-031D6DE88342}"/>
              </c:ext>
            </c:extLst>
          </c:dPt>
          <c:dPt>
            <c:idx val="3"/>
            <c:bubble3D val="0"/>
            <c:spPr>
              <a:pattFill prst="ltUpDiag">
                <a:fgClr>
                  <a:schemeClr val="accent4"/>
                </a:fgClr>
                <a:bgClr>
                  <a:schemeClr val="accent4">
                    <a:lumMod val="20000"/>
                    <a:lumOff val="80000"/>
                  </a:schemeClr>
                </a:bgClr>
              </a:pattFill>
              <a:ln w="19050">
                <a:solidFill>
                  <a:schemeClr val="lt1"/>
                </a:solidFill>
              </a:ln>
              <a:effectLst>
                <a:innerShdw blurRad="114300">
                  <a:schemeClr val="accent4"/>
                </a:innerShdw>
              </a:effectLst>
            </c:spPr>
            <c:extLst>
              <c:ext xmlns:c16="http://schemas.microsoft.com/office/drawing/2014/chart" uri="{C3380CC4-5D6E-409C-BE32-E72D297353CC}">
                <c16:uniqueId val="{00000007-588B-468B-8F1A-031D6DE88342}"/>
              </c:ext>
            </c:extLst>
          </c:dPt>
          <c:dPt>
            <c:idx val="4"/>
            <c:bubble3D val="0"/>
            <c:spPr>
              <a:pattFill prst="ltUpDiag">
                <a:fgClr>
                  <a:schemeClr val="accent5"/>
                </a:fgClr>
                <a:bgClr>
                  <a:schemeClr val="accent5">
                    <a:lumMod val="20000"/>
                    <a:lumOff val="80000"/>
                  </a:schemeClr>
                </a:bgClr>
              </a:pattFill>
              <a:ln w="19050">
                <a:solidFill>
                  <a:schemeClr val="lt1"/>
                </a:solidFill>
              </a:ln>
              <a:effectLst>
                <a:innerShdw blurRad="114300">
                  <a:schemeClr val="accent5"/>
                </a:innerShdw>
              </a:effectLst>
            </c:spPr>
            <c:extLst>
              <c:ext xmlns:c16="http://schemas.microsoft.com/office/drawing/2014/chart" uri="{C3380CC4-5D6E-409C-BE32-E72D297353CC}">
                <c16:uniqueId val="{00000009-588B-468B-8F1A-031D6DE88342}"/>
              </c:ext>
            </c:extLst>
          </c:dPt>
          <c:dPt>
            <c:idx val="5"/>
            <c:bubble3D val="0"/>
            <c:spPr>
              <a:pattFill prst="ltUpDiag">
                <a:fgClr>
                  <a:schemeClr val="accent6"/>
                </a:fgClr>
                <a:bgClr>
                  <a:schemeClr val="accent6">
                    <a:lumMod val="20000"/>
                    <a:lumOff val="80000"/>
                  </a:schemeClr>
                </a:bgClr>
              </a:pattFill>
              <a:ln w="19050">
                <a:solidFill>
                  <a:schemeClr val="lt1"/>
                </a:solidFill>
              </a:ln>
              <a:effectLst>
                <a:innerShdw blurRad="114300">
                  <a:schemeClr val="accent6"/>
                </a:innerShdw>
              </a:effectLst>
            </c:spPr>
            <c:extLst>
              <c:ext xmlns:c16="http://schemas.microsoft.com/office/drawing/2014/chart" uri="{C3380CC4-5D6E-409C-BE32-E72D297353CC}">
                <c16:uniqueId val="{0000000B-588B-468B-8F1A-031D6DE88342}"/>
              </c:ext>
            </c:extLst>
          </c:dPt>
          <c:dPt>
            <c:idx val="6"/>
            <c:bubble3D val="0"/>
            <c:spPr>
              <a:pattFill prst="ltUpDiag">
                <a:fgClr>
                  <a:schemeClr val="accent1">
                    <a:lumMod val="60000"/>
                  </a:schemeClr>
                </a:fgClr>
                <a:bgClr>
                  <a:schemeClr val="accent1">
                    <a:lumMod val="60000"/>
                    <a:lumMod val="20000"/>
                    <a:lumOff val="80000"/>
                  </a:schemeClr>
                </a:bgClr>
              </a:pattFill>
              <a:ln w="19050">
                <a:solidFill>
                  <a:schemeClr val="lt1"/>
                </a:solidFill>
              </a:ln>
              <a:effectLst>
                <a:innerShdw blurRad="114300">
                  <a:schemeClr val="accent1">
                    <a:lumMod val="60000"/>
                  </a:schemeClr>
                </a:innerShdw>
              </a:effectLst>
            </c:spPr>
            <c:extLst>
              <c:ext xmlns:c16="http://schemas.microsoft.com/office/drawing/2014/chart" uri="{C3380CC4-5D6E-409C-BE32-E72D297353CC}">
                <c16:uniqueId val="{0000000D-588B-468B-8F1A-031D6DE88342}"/>
              </c:ext>
            </c:extLst>
          </c:dPt>
          <c:dLbls>
            <c:dLbl>
              <c:idx val="0"/>
              <c:layout>
                <c:manualLayout>
                  <c:x val="7.3863079615048011E-2"/>
                  <c:y val="-2.8266622922134735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1-588B-468B-8F1A-031D6DE88342}"/>
                </c:ext>
              </c:extLst>
            </c:dLbl>
            <c:dLbl>
              <c:idx val="1"/>
              <c:layout>
                <c:manualLayout>
                  <c:x val="-4.3807305336832893E-2"/>
                  <c:y val="4.2155511811023581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3-588B-468B-8F1A-031D6DE88342}"/>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zh-TW"/>
              </a:p>
            </c:txPr>
            <c:dLblPos val="inEnd"/>
            <c:showLegendKey val="0"/>
            <c:showVal val="0"/>
            <c:showCatName val="1"/>
            <c:showSerName val="0"/>
            <c:showPercent val="1"/>
            <c:showBubbleSize val="0"/>
            <c:showLeaderLines val="1"/>
            <c:leaderLines>
              <c:spPr>
                <a:ln w="9525">
                  <a:solidFill>
                    <a:schemeClr val="tx1">
                      <a:lumMod val="35000"/>
                      <a:lumOff val="65000"/>
                    </a:schemeClr>
                  </a:solidFill>
                </a:ln>
                <a:effectLst/>
              </c:spPr>
            </c:leaderLines>
            <c:extLst>
              <c:ext xmlns:c15="http://schemas.microsoft.com/office/drawing/2012/chart" uri="{CE6537A1-D6FC-4f65-9D91-7224C49458BB}"/>
            </c:extLst>
          </c:dLbls>
          <c:cat>
            <c:strRef>
              <c:f>購買方式!$F$1:$G$1</c:f>
              <c:strCache>
                <c:ptCount val="2"/>
                <c:pt idx="0">
                  <c:v>1.實體商店</c:v>
                </c:pt>
                <c:pt idx="1">
                  <c:v>2.網購</c:v>
                </c:pt>
              </c:strCache>
            </c:strRef>
          </c:cat>
          <c:val>
            <c:numRef>
              <c:f>購買方式!$F$411:$G$411</c:f>
              <c:numCache>
                <c:formatCode>0.00_);[Red]\(0.00\)</c:formatCode>
                <c:ptCount val="2"/>
                <c:pt idx="0">
                  <c:v>393</c:v>
                </c:pt>
                <c:pt idx="1">
                  <c:v>106</c:v>
                </c:pt>
              </c:numCache>
            </c:numRef>
          </c:val>
          <c:extLst>
            <c:ext xmlns:c16="http://schemas.microsoft.com/office/drawing/2014/chart" uri="{C3380CC4-5D6E-409C-BE32-E72D297353CC}">
              <c16:uniqueId val="{0000000E-588B-468B-8F1A-031D6DE88342}"/>
            </c:ext>
          </c:extLst>
        </c:ser>
        <c:dLbls>
          <c:dLblPos val="inEnd"/>
          <c:showLegendKey val="0"/>
          <c:showVal val="0"/>
          <c:showCatName val="0"/>
          <c:showSerName val="0"/>
          <c:showPercent val="1"/>
          <c:showBubbleSize val="0"/>
          <c:showLeaderLines val="1"/>
        </c:dLbls>
        <c:firstSliceAng val="0"/>
      </c:pie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a:pPr>
      <a:endParaRPr lang="zh-TW"/>
    </a:p>
  </c:txPr>
  <c:externalData r:id="rId4">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pieChart>
        <c:varyColors val="1"/>
        <c:ser>
          <c:idx val="0"/>
          <c:order val="0"/>
          <c:dPt>
            <c:idx val="0"/>
            <c:bubble3D val="0"/>
            <c:spPr>
              <a:pattFill prst="ltUpDiag">
                <a:fgClr>
                  <a:schemeClr val="accent1"/>
                </a:fgClr>
                <a:bgClr>
                  <a:schemeClr val="accent1">
                    <a:lumMod val="20000"/>
                    <a:lumOff val="80000"/>
                  </a:schemeClr>
                </a:bgClr>
              </a:pattFill>
              <a:ln w="19050">
                <a:solidFill>
                  <a:schemeClr val="lt1"/>
                </a:solidFill>
              </a:ln>
              <a:effectLst>
                <a:innerShdw blurRad="114300">
                  <a:schemeClr val="accent1"/>
                </a:innerShdw>
              </a:effectLst>
            </c:spPr>
            <c:extLst>
              <c:ext xmlns:c16="http://schemas.microsoft.com/office/drawing/2014/chart" uri="{C3380CC4-5D6E-409C-BE32-E72D297353CC}">
                <c16:uniqueId val="{00000001-4AFE-45CC-B2EA-8D8384D27C5C}"/>
              </c:ext>
            </c:extLst>
          </c:dPt>
          <c:dPt>
            <c:idx val="1"/>
            <c:bubble3D val="0"/>
            <c:spPr>
              <a:pattFill prst="ltUpDiag">
                <a:fgClr>
                  <a:schemeClr val="accent2"/>
                </a:fgClr>
                <a:bgClr>
                  <a:schemeClr val="accent2">
                    <a:lumMod val="20000"/>
                    <a:lumOff val="80000"/>
                  </a:schemeClr>
                </a:bgClr>
              </a:pattFill>
              <a:ln w="19050">
                <a:solidFill>
                  <a:schemeClr val="lt1"/>
                </a:solidFill>
              </a:ln>
              <a:effectLst>
                <a:innerShdw blurRad="114300">
                  <a:schemeClr val="accent2"/>
                </a:innerShdw>
              </a:effectLst>
            </c:spPr>
            <c:extLst>
              <c:ext xmlns:c16="http://schemas.microsoft.com/office/drawing/2014/chart" uri="{C3380CC4-5D6E-409C-BE32-E72D297353CC}">
                <c16:uniqueId val="{00000003-4AFE-45CC-B2EA-8D8384D27C5C}"/>
              </c:ext>
            </c:extLst>
          </c:dPt>
          <c:dPt>
            <c:idx val="2"/>
            <c:bubble3D val="0"/>
            <c:spPr>
              <a:pattFill prst="ltUpDiag">
                <a:fgClr>
                  <a:schemeClr val="accent3"/>
                </a:fgClr>
                <a:bgClr>
                  <a:schemeClr val="accent3">
                    <a:lumMod val="20000"/>
                    <a:lumOff val="80000"/>
                  </a:schemeClr>
                </a:bgClr>
              </a:pattFill>
              <a:ln w="19050">
                <a:solidFill>
                  <a:schemeClr val="lt1"/>
                </a:solidFill>
              </a:ln>
              <a:effectLst>
                <a:innerShdw blurRad="114300">
                  <a:schemeClr val="accent3"/>
                </a:innerShdw>
              </a:effectLst>
            </c:spPr>
            <c:extLst>
              <c:ext xmlns:c16="http://schemas.microsoft.com/office/drawing/2014/chart" uri="{C3380CC4-5D6E-409C-BE32-E72D297353CC}">
                <c16:uniqueId val="{00000005-4AFE-45CC-B2EA-8D8384D27C5C}"/>
              </c:ext>
            </c:extLst>
          </c:dPt>
          <c:dPt>
            <c:idx val="3"/>
            <c:bubble3D val="0"/>
            <c:spPr>
              <a:pattFill prst="ltUpDiag">
                <a:fgClr>
                  <a:schemeClr val="accent4"/>
                </a:fgClr>
                <a:bgClr>
                  <a:schemeClr val="accent4">
                    <a:lumMod val="20000"/>
                    <a:lumOff val="80000"/>
                  </a:schemeClr>
                </a:bgClr>
              </a:pattFill>
              <a:ln w="19050">
                <a:solidFill>
                  <a:schemeClr val="lt1"/>
                </a:solidFill>
              </a:ln>
              <a:effectLst>
                <a:innerShdw blurRad="114300">
                  <a:schemeClr val="accent4"/>
                </a:innerShdw>
              </a:effectLst>
            </c:spPr>
            <c:extLst>
              <c:ext xmlns:c16="http://schemas.microsoft.com/office/drawing/2014/chart" uri="{C3380CC4-5D6E-409C-BE32-E72D297353CC}">
                <c16:uniqueId val="{00000007-4AFE-45CC-B2EA-8D8384D27C5C}"/>
              </c:ext>
            </c:extLst>
          </c:dPt>
          <c:dPt>
            <c:idx val="4"/>
            <c:bubble3D val="0"/>
            <c:spPr>
              <a:pattFill prst="ltUpDiag">
                <a:fgClr>
                  <a:schemeClr val="accent5"/>
                </a:fgClr>
                <a:bgClr>
                  <a:schemeClr val="accent5">
                    <a:lumMod val="20000"/>
                    <a:lumOff val="80000"/>
                  </a:schemeClr>
                </a:bgClr>
              </a:pattFill>
              <a:ln w="19050">
                <a:solidFill>
                  <a:schemeClr val="lt1"/>
                </a:solidFill>
              </a:ln>
              <a:effectLst>
                <a:innerShdw blurRad="114300">
                  <a:schemeClr val="accent5"/>
                </a:innerShdw>
              </a:effectLst>
            </c:spPr>
            <c:extLst>
              <c:ext xmlns:c16="http://schemas.microsoft.com/office/drawing/2014/chart" uri="{C3380CC4-5D6E-409C-BE32-E72D297353CC}">
                <c16:uniqueId val="{00000009-4AFE-45CC-B2EA-8D8384D27C5C}"/>
              </c:ext>
            </c:extLst>
          </c:dPt>
          <c:dPt>
            <c:idx val="5"/>
            <c:bubble3D val="0"/>
            <c:spPr>
              <a:pattFill prst="ltUpDiag">
                <a:fgClr>
                  <a:schemeClr val="accent6"/>
                </a:fgClr>
                <a:bgClr>
                  <a:schemeClr val="accent6">
                    <a:lumMod val="20000"/>
                    <a:lumOff val="80000"/>
                  </a:schemeClr>
                </a:bgClr>
              </a:pattFill>
              <a:ln w="19050">
                <a:solidFill>
                  <a:schemeClr val="lt1"/>
                </a:solidFill>
              </a:ln>
              <a:effectLst>
                <a:innerShdw blurRad="114300">
                  <a:schemeClr val="accent6"/>
                </a:innerShdw>
              </a:effectLst>
            </c:spPr>
            <c:extLst>
              <c:ext xmlns:c16="http://schemas.microsoft.com/office/drawing/2014/chart" uri="{C3380CC4-5D6E-409C-BE32-E72D297353CC}">
                <c16:uniqueId val="{0000000B-4AFE-45CC-B2EA-8D8384D27C5C}"/>
              </c:ext>
            </c:extLst>
          </c:dPt>
          <c:dPt>
            <c:idx val="6"/>
            <c:bubble3D val="0"/>
            <c:spPr>
              <a:pattFill prst="ltUpDiag">
                <a:fgClr>
                  <a:schemeClr val="accent1">
                    <a:lumMod val="60000"/>
                  </a:schemeClr>
                </a:fgClr>
                <a:bgClr>
                  <a:schemeClr val="accent1">
                    <a:lumMod val="60000"/>
                    <a:lumMod val="20000"/>
                    <a:lumOff val="80000"/>
                  </a:schemeClr>
                </a:bgClr>
              </a:pattFill>
              <a:ln w="19050">
                <a:solidFill>
                  <a:schemeClr val="lt1"/>
                </a:solidFill>
              </a:ln>
              <a:effectLst>
                <a:innerShdw blurRad="114300">
                  <a:schemeClr val="accent1">
                    <a:lumMod val="60000"/>
                  </a:schemeClr>
                </a:innerShdw>
              </a:effectLst>
            </c:spPr>
            <c:extLst>
              <c:ext xmlns:c16="http://schemas.microsoft.com/office/drawing/2014/chart" uri="{C3380CC4-5D6E-409C-BE32-E72D297353CC}">
                <c16:uniqueId val="{0000000D-4AFE-45CC-B2EA-8D8384D27C5C}"/>
              </c:ext>
            </c:extLst>
          </c:dPt>
          <c:dLbls>
            <c:dLbl>
              <c:idx val="0"/>
              <c:layout>
                <c:manualLayout>
                  <c:x val="9.679746281714785E-2"/>
                  <c:y val="5.52245552639253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1-4AFE-45CC-B2EA-8D8384D27C5C}"/>
                </c:ext>
              </c:extLst>
            </c:dLbl>
            <c:dLbl>
              <c:idx val="1"/>
              <c:layout>
                <c:manualLayout>
                  <c:x val="3.3690069991250994E-2"/>
                  <c:y val="5.3138670166228376E-3"/>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3-4AFE-45CC-B2EA-8D8384D27C5C}"/>
                </c:ext>
              </c:extLst>
            </c:dLbl>
            <c:dLbl>
              <c:idx val="2"/>
              <c:layout>
                <c:manualLayout>
                  <c:x val="-0.12258223972003503"/>
                  <c:y val="-9.2229512977544392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5-4AFE-45CC-B2EA-8D8384D27C5C}"/>
                </c:ext>
              </c:extLst>
            </c:dLbl>
            <c:dLbl>
              <c:idx val="3"/>
              <c:layout>
                <c:manualLayout>
                  <c:x val="-4.9010498687664057E-2"/>
                  <c:y val="-1.5024424030329627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7-4AFE-45CC-B2EA-8D8384D27C5C}"/>
                </c:ext>
              </c:extLst>
            </c:dLbl>
            <c:dLbl>
              <c:idx val="4"/>
              <c:layout>
                <c:manualLayout>
                  <c:x val="-5.563320209973753E-2"/>
                  <c:y val="1.51578448527267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9-4AFE-45CC-B2EA-8D8384D27C5C}"/>
                </c:ext>
              </c:extLst>
            </c:dLbl>
            <c:dLbl>
              <c:idx val="5"/>
              <c:layout>
                <c:manualLayout>
                  <c:x val="1.8422572178477689E-2"/>
                  <c:y val="1.634587343248757E-3"/>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B-4AFE-45CC-B2EA-8D8384D27C5C}"/>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zh-TW"/>
              </a:p>
            </c:txPr>
            <c:dLblPos val="ctr"/>
            <c:showLegendKey val="0"/>
            <c:showVal val="0"/>
            <c:showCatName val="1"/>
            <c:showSerName val="0"/>
            <c:showPercent val="1"/>
            <c:showBubbleSize val="0"/>
            <c:showLeaderLines val="1"/>
            <c:leaderLines>
              <c:spPr>
                <a:ln w="9525">
                  <a:solidFill>
                    <a:schemeClr val="tx1">
                      <a:lumMod val="35000"/>
                      <a:lumOff val="65000"/>
                    </a:schemeClr>
                  </a:solidFill>
                </a:ln>
                <a:effectLst/>
              </c:spPr>
            </c:leaderLines>
            <c:extLst>
              <c:ext xmlns:c15="http://schemas.microsoft.com/office/drawing/2012/chart" uri="{CE6537A1-D6FC-4f65-9D91-7224C49458BB}"/>
            </c:extLst>
          </c:dLbls>
          <c:cat>
            <c:strRef>
              <c:f>穿著主因!$F$1:$K$1</c:f>
              <c:strCache>
                <c:ptCount val="6"/>
                <c:pt idx="0">
                  <c:v>1.運動用</c:v>
                </c:pt>
                <c:pt idx="1">
                  <c:v>2.避免運動傷害</c:v>
                </c:pt>
                <c:pt idx="2">
                  <c:v>3.穿著舒適</c:v>
                </c:pt>
                <c:pt idx="3">
                  <c:v>4.搭配衣服</c:v>
                </c:pt>
                <c:pt idx="4">
                  <c:v>5.流行趨勢</c:v>
                </c:pt>
                <c:pt idx="5">
                  <c:v>6.功能性</c:v>
                </c:pt>
              </c:strCache>
            </c:strRef>
          </c:cat>
          <c:val>
            <c:numRef>
              <c:f>穿著主因!$F$411:$K$411</c:f>
              <c:numCache>
                <c:formatCode>0.00_);[Red]\(0.00\)</c:formatCode>
                <c:ptCount val="6"/>
                <c:pt idx="0">
                  <c:v>288</c:v>
                </c:pt>
                <c:pt idx="1">
                  <c:v>153</c:v>
                </c:pt>
                <c:pt idx="2">
                  <c:v>274</c:v>
                </c:pt>
                <c:pt idx="3">
                  <c:v>156</c:v>
                </c:pt>
                <c:pt idx="4">
                  <c:v>105</c:v>
                </c:pt>
                <c:pt idx="5">
                  <c:v>100</c:v>
                </c:pt>
              </c:numCache>
            </c:numRef>
          </c:val>
          <c:extLst>
            <c:ext xmlns:c16="http://schemas.microsoft.com/office/drawing/2014/chart" uri="{C3380CC4-5D6E-409C-BE32-E72D297353CC}">
              <c16:uniqueId val="{0000000E-4AFE-45CC-B2EA-8D8384D27C5C}"/>
            </c:ext>
          </c:extLst>
        </c:ser>
        <c:dLbls>
          <c:dLblPos val="ctr"/>
          <c:showLegendKey val="0"/>
          <c:showVal val="0"/>
          <c:showCatName val="0"/>
          <c:showSerName val="0"/>
          <c:showPercent val="1"/>
          <c:showBubbleSize val="0"/>
          <c:showLeaderLines val="1"/>
        </c:dLbls>
        <c:firstSliceAng val="0"/>
      </c:pieChart>
      <c:spPr>
        <a:noFill/>
        <a:ln>
          <a:noFill/>
        </a:ln>
        <a:effectLst/>
      </c:spPr>
    </c:plotArea>
    <c:plotVisOnly val="1"/>
    <c:dispBlanksAs val="gap"/>
    <c:showDLblsOverMax val="0"/>
  </c:chart>
  <c:spPr>
    <a:noFill/>
    <a:ln w="9525" cap="flat" cmpd="sng" algn="ctr">
      <a:noFill/>
      <a:round/>
    </a:ln>
    <a:effectLst/>
  </c:spPr>
  <c:txPr>
    <a:bodyPr/>
    <a:lstStyle/>
    <a:p>
      <a:pPr>
        <a:defRPr/>
      </a:pPr>
      <a:endParaRPr lang="zh-TW"/>
    </a:p>
  </c:txPr>
  <c:externalData r:id="rId4">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pieChart>
        <c:varyColors val="1"/>
        <c:ser>
          <c:idx val="0"/>
          <c:order val="0"/>
          <c:dPt>
            <c:idx val="0"/>
            <c:bubble3D val="0"/>
            <c:spPr>
              <a:pattFill prst="ltUpDiag">
                <a:fgClr>
                  <a:schemeClr val="accent1"/>
                </a:fgClr>
                <a:bgClr>
                  <a:schemeClr val="accent1">
                    <a:lumMod val="20000"/>
                    <a:lumOff val="80000"/>
                  </a:schemeClr>
                </a:bgClr>
              </a:pattFill>
              <a:ln w="19050">
                <a:solidFill>
                  <a:schemeClr val="lt1"/>
                </a:solidFill>
              </a:ln>
              <a:effectLst>
                <a:innerShdw blurRad="114300">
                  <a:schemeClr val="accent1"/>
                </a:innerShdw>
              </a:effectLst>
            </c:spPr>
            <c:extLst>
              <c:ext xmlns:c16="http://schemas.microsoft.com/office/drawing/2014/chart" uri="{C3380CC4-5D6E-409C-BE32-E72D297353CC}">
                <c16:uniqueId val="{00000001-1306-473A-8C08-A5FAFBA3A002}"/>
              </c:ext>
            </c:extLst>
          </c:dPt>
          <c:dPt>
            <c:idx val="1"/>
            <c:bubble3D val="0"/>
            <c:spPr>
              <a:pattFill prst="ltUpDiag">
                <a:fgClr>
                  <a:schemeClr val="accent2"/>
                </a:fgClr>
                <a:bgClr>
                  <a:schemeClr val="accent2">
                    <a:lumMod val="20000"/>
                    <a:lumOff val="80000"/>
                  </a:schemeClr>
                </a:bgClr>
              </a:pattFill>
              <a:ln w="19050">
                <a:solidFill>
                  <a:schemeClr val="lt1"/>
                </a:solidFill>
              </a:ln>
              <a:effectLst>
                <a:innerShdw blurRad="114300">
                  <a:schemeClr val="accent2"/>
                </a:innerShdw>
              </a:effectLst>
            </c:spPr>
            <c:extLst>
              <c:ext xmlns:c16="http://schemas.microsoft.com/office/drawing/2014/chart" uri="{C3380CC4-5D6E-409C-BE32-E72D297353CC}">
                <c16:uniqueId val="{00000003-1306-473A-8C08-A5FAFBA3A002}"/>
              </c:ext>
            </c:extLst>
          </c:dPt>
          <c:dPt>
            <c:idx val="2"/>
            <c:bubble3D val="0"/>
            <c:spPr>
              <a:pattFill prst="ltUpDiag">
                <a:fgClr>
                  <a:schemeClr val="accent3"/>
                </a:fgClr>
                <a:bgClr>
                  <a:schemeClr val="accent3">
                    <a:lumMod val="20000"/>
                    <a:lumOff val="80000"/>
                  </a:schemeClr>
                </a:bgClr>
              </a:pattFill>
              <a:ln w="19050">
                <a:solidFill>
                  <a:schemeClr val="lt1"/>
                </a:solidFill>
              </a:ln>
              <a:effectLst>
                <a:innerShdw blurRad="114300">
                  <a:schemeClr val="accent3"/>
                </a:innerShdw>
              </a:effectLst>
            </c:spPr>
            <c:extLst>
              <c:ext xmlns:c16="http://schemas.microsoft.com/office/drawing/2014/chart" uri="{C3380CC4-5D6E-409C-BE32-E72D297353CC}">
                <c16:uniqueId val="{00000005-1306-473A-8C08-A5FAFBA3A002}"/>
              </c:ext>
            </c:extLst>
          </c:dPt>
          <c:dPt>
            <c:idx val="3"/>
            <c:bubble3D val="0"/>
            <c:spPr>
              <a:pattFill prst="ltUpDiag">
                <a:fgClr>
                  <a:schemeClr val="accent4"/>
                </a:fgClr>
                <a:bgClr>
                  <a:schemeClr val="accent4">
                    <a:lumMod val="20000"/>
                    <a:lumOff val="80000"/>
                  </a:schemeClr>
                </a:bgClr>
              </a:pattFill>
              <a:ln w="19050">
                <a:solidFill>
                  <a:schemeClr val="lt1"/>
                </a:solidFill>
              </a:ln>
              <a:effectLst>
                <a:innerShdw blurRad="114300">
                  <a:schemeClr val="accent4"/>
                </a:innerShdw>
              </a:effectLst>
            </c:spPr>
            <c:extLst>
              <c:ext xmlns:c16="http://schemas.microsoft.com/office/drawing/2014/chart" uri="{C3380CC4-5D6E-409C-BE32-E72D297353CC}">
                <c16:uniqueId val="{00000007-1306-473A-8C08-A5FAFBA3A002}"/>
              </c:ext>
            </c:extLst>
          </c:dPt>
          <c:dPt>
            <c:idx val="4"/>
            <c:bubble3D val="0"/>
            <c:spPr>
              <a:pattFill prst="ltUpDiag">
                <a:fgClr>
                  <a:schemeClr val="accent5"/>
                </a:fgClr>
                <a:bgClr>
                  <a:schemeClr val="accent5">
                    <a:lumMod val="20000"/>
                    <a:lumOff val="80000"/>
                  </a:schemeClr>
                </a:bgClr>
              </a:pattFill>
              <a:ln w="19050">
                <a:solidFill>
                  <a:schemeClr val="lt1"/>
                </a:solidFill>
              </a:ln>
              <a:effectLst>
                <a:innerShdw blurRad="114300">
                  <a:schemeClr val="accent5"/>
                </a:innerShdw>
              </a:effectLst>
            </c:spPr>
            <c:extLst>
              <c:ext xmlns:c16="http://schemas.microsoft.com/office/drawing/2014/chart" uri="{C3380CC4-5D6E-409C-BE32-E72D297353CC}">
                <c16:uniqueId val="{00000009-1306-473A-8C08-A5FAFBA3A002}"/>
              </c:ext>
            </c:extLst>
          </c:dPt>
          <c:dPt>
            <c:idx val="5"/>
            <c:bubble3D val="0"/>
            <c:spPr>
              <a:pattFill prst="ltUpDiag">
                <a:fgClr>
                  <a:schemeClr val="accent6"/>
                </a:fgClr>
                <a:bgClr>
                  <a:schemeClr val="accent6">
                    <a:lumMod val="20000"/>
                    <a:lumOff val="80000"/>
                  </a:schemeClr>
                </a:bgClr>
              </a:pattFill>
              <a:ln w="19050">
                <a:solidFill>
                  <a:schemeClr val="lt1"/>
                </a:solidFill>
              </a:ln>
              <a:effectLst>
                <a:innerShdw blurRad="114300">
                  <a:schemeClr val="accent6"/>
                </a:innerShdw>
              </a:effectLst>
            </c:spPr>
            <c:extLst>
              <c:ext xmlns:c16="http://schemas.microsoft.com/office/drawing/2014/chart" uri="{C3380CC4-5D6E-409C-BE32-E72D297353CC}">
                <c16:uniqueId val="{0000000B-1306-473A-8C08-A5FAFBA3A002}"/>
              </c:ext>
            </c:extLst>
          </c:dPt>
          <c:dPt>
            <c:idx val="6"/>
            <c:bubble3D val="0"/>
            <c:spPr>
              <a:pattFill prst="ltUpDiag">
                <a:fgClr>
                  <a:schemeClr val="accent1">
                    <a:lumMod val="60000"/>
                  </a:schemeClr>
                </a:fgClr>
                <a:bgClr>
                  <a:schemeClr val="accent1">
                    <a:lumMod val="60000"/>
                    <a:lumMod val="20000"/>
                    <a:lumOff val="80000"/>
                  </a:schemeClr>
                </a:bgClr>
              </a:pattFill>
              <a:ln w="19050">
                <a:solidFill>
                  <a:schemeClr val="lt1"/>
                </a:solidFill>
              </a:ln>
              <a:effectLst>
                <a:innerShdw blurRad="114300">
                  <a:schemeClr val="accent1">
                    <a:lumMod val="60000"/>
                  </a:schemeClr>
                </a:innerShdw>
              </a:effectLst>
            </c:spPr>
            <c:extLst>
              <c:ext xmlns:c16="http://schemas.microsoft.com/office/drawing/2014/chart" uri="{C3380CC4-5D6E-409C-BE32-E72D297353CC}">
                <c16:uniqueId val="{0000000D-1306-473A-8C08-A5FAFBA3A002}"/>
              </c:ext>
            </c:extLst>
          </c:dPt>
          <c:dLbls>
            <c:dLbl>
              <c:idx val="0"/>
              <c:layout>
                <c:manualLayout>
                  <c:x val="8.8873140857392827E-2"/>
                  <c:y val="4.2657115777194499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1-1306-473A-8C08-A5FAFBA3A002}"/>
                </c:ext>
              </c:extLst>
            </c:dLbl>
            <c:dLbl>
              <c:idx val="1"/>
              <c:layout>
                <c:manualLayout>
                  <c:x val="3.8664916885389228E-2"/>
                  <c:y val="-3.8181685622630506E-3"/>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3-1306-473A-8C08-A5FAFBA3A002}"/>
                </c:ext>
              </c:extLst>
            </c:dLbl>
            <c:dLbl>
              <c:idx val="2"/>
              <c:layout>
                <c:manualLayout>
                  <c:x val="9.8409667541557402E-2"/>
                  <c:y val="-4.6259842519693527E-4"/>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5-1306-473A-8C08-A5FAFBA3A002}"/>
                </c:ext>
              </c:extLst>
            </c:dLbl>
            <c:dLbl>
              <c:idx val="3"/>
              <c:layout>
                <c:manualLayout>
                  <c:x val="0.12868766404199464"/>
                  <c:y val="-6.4613954505686785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7-1306-473A-8C08-A5FAFBA3A002}"/>
                </c:ext>
              </c:extLst>
            </c:dLbl>
            <c:dLbl>
              <c:idx val="4"/>
              <c:layout>
                <c:manualLayout>
                  <c:x val="-1.4034995625546807E-2"/>
                  <c:y val="7.0589093030037908E-3"/>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9-1306-473A-8C08-A5FAFBA3A002}"/>
                </c:ext>
              </c:extLst>
            </c:dLbl>
            <c:dLbl>
              <c:idx val="5"/>
              <c:layout>
                <c:manualLayout>
                  <c:x val="-5.2387576552930887E-2"/>
                  <c:y val="-3.5431977252843395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B-1306-473A-8C08-A5FAFBA3A002}"/>
                </c:ext>
              </c:extLst>
            </c:dLbl>
            <c:dLbl>
              <c:idx val="6"/>
              <c:layout>
                <c:manualLayout>
                  <c:x val="-7.2862423447069113E-2"/>
                  <c:y val="-8.0352872557596988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D-1306-473A-8C08-A5FAFBA3A002}"/>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zh-TW"/>
              </a:p>
            </c:txPr>
            <c:dLblPos val="ctr"/>
            <c:showLegendKey val="0"/>
            <c:showVal val="0"/>
            <c:showCatName val="1"/>
            <c:showSerName val="0"/>
            <c:showPercent val="1"/>
            <c:showBubbleSize val="0"/>
            <c:showLeaderLines val="1"/>
            <c:leaderLines>
              <c:spPr>
                <a:ln w="9525">
                  <a:solidFill>
                    <a:schemeClr val="tx1">
                      <a:lumMod val="35000"/>
                      <a:lumOff val="65000"/>
                    </a:schemeClr>
                  </a:solidFill>
                </a:ln>
                <a:effectLst/>
              </c:spPr>
            </c:leaderLines>
            <c:extLst>
              <c:ext xmlns:c15="http://schemas.microsoft.com/office/drawing/2012/chart" uri="{CE6537A1-D6FC-4f65-9D91-7224C49458BB}"/>
            </c:extLst>
          </c:dLbls>
          <c:cat>
            <c:strRef>
              <c:f>basb!$F$1:$L$1</c:f>
              <c:strCache>
                <c:ptCount val="7"/>
                <c:pt idx="0">
                  <c:v>1.Nike</c:v>
                </c:pt>
                <c:pt idx="1">
                  <c:v>2.Adidas</c:v>
                </c:pt>
                <c:pt idx="2">
                  <c:v>3.ASICS</c:v>
                </c:pt>
                <c:pt idx="3">
                  <c:v>4.Mizuno</c:v>
                </c:pt>
                <c:pt idx="4">
                  <c:v>5.UA</c:v>
                </c:pt>
                <c:pt idx="5">
                  <c:v>6.Puma</c:v>
                </c:pt>
                <c:pt idx="6">
                  <c:v>7.無</c:v>
                </c:pt>
              </c:strCache>
            </c:strRef>
          </c:cat>
          <c:val>
            <c:numRef>
              <c:f>basb!$F$411:$L$411</c:f>
              <c:numCache>
                <c:formatCode>0.00_);[Red]\(0.00\)</c:formatCode>
                <c:ptCount val="7"/>
                <c:pt idx="0">
                  <c:v>90</c:v>
                </c:pt>
                <c:pt idx="1">
                  <c:v>54</c:v>
                </c:pt>
                <c:pt idx="2">
                  <c:v>39</c:v>
                </c:pt>
                <c:pt idx="3">
                  <c:v>100</c:v>
                </c:pt>
                <c:pt idx="4">
                  <c:v>31</c:v>
                </c:pt>
                <c:pt idx="5">
                  <c:v>16</c:v>
                </c:pt>
                <c:pt idx="6">
                  <c:v>158</c:v>
                </c:pt>
              </c:numCache>
            </c:numRef>
          </c:val>
          <c:extLst>
            <c:ext xmlns:c16="http://schemas.microsoft.com/office/drawing/2014/chart" uri="{C3380CC4-5D6E-409C-BE32-E72D297353CC}">
              <c16:uniqueId val="{0000000E-1306-473A-8C08-A5FAFBA3A002}"/>
            </c:ext>
          </c:extLst>
        </c:ser>
        <c:dLbls>
          <c:dLblPos val="ctr"/>
          <c:showLegendKey val="0"/>
          <c:showVal val="0"/>
          <c:showCatName val="1"/>
          <c:showSerName val="0"/>
          <c:showPercent val="1"/>
          <c:showBubbleSize val="0"/>
          <c:showLeaderLines val="1"/>
        </c:dLbls>
        <c:firstSliceAng val="0"/>
      </c:pieChart>
      <c:spPr>
        <a:noFill/>
        <a:ln>
          <a:noFill/>
        </a:ln>
        <a:effectLst/>
      </c:spPr>
    </c:plotArea>
    <c:plotVisOnly val="1"/>
    <c:dispBlanksAs val="gap"/>
    <c:showDLblsOverMax val="0"/>
  </c:chart>
  <c:spPr>
    <a:noFill/>
    <a:ln w="9525" cap="flat" cmpd="sng" algn="ctr">
      <a:noFill/>
      <a:round/>
    </a:ln>
    <a:effectLst/>
  </c:spPr>
  <c:txPr>
    <a:bodyPr/>
    <a:lstStyle/>
    <a:p>
      <a:pPr>
        <a:defRPr/>
      </a:pPr>
      <a:endParaRPr lang="zh-TW"/>
    </a:p>
  </c:txPr>
  <c:externalData r:id="rId4">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pieChart>
        <c:varyColors val="1"/>
        <c:ser>
          <c:idx val="0"/>
          <c:order val="0"/>
          <c:dPt>
            <c:idx val="0"/>
            <c:bubble3D val="0"/>
            <c:spPr>
              <a:pattFill prst="ltUpDiag">
                <a:fgClr>
                  <a:schemeClr val="accent1"/>
                </a:fgClr>
                <a:bgClr>
                  <a:schemeClr val="accent1">
                    <a:lumMod val="20000"/>
                    <a:lumOff val="80000"/>
                  </a:schemeClr>
                </a:bgClr>
              </a:pattFill>
              <a:ln w="19050">
                <a:solidFill>
                  <a:schemeClr val="lt1"/>
                </a:solidFill>
              </a:ln>
              <a:effectLst>
                <a:innerShdw blurRad="114300">
                  <a:schemeClr val="accent1"/>
                </a:innerShdw>
              </a:effectLst>
            </c:spPr>
            <c:extLst>
              <c:ext xmlns:c16="http://schemas.microsoft.com/office/drawing/2014/chart" uri="{C3380CC4-5D6E-409C-BE32-E72D297353CC}">
                <c16:uniqueId val="{00000001-F006-4D90-912E-F52E05D2F81B}"/>
              </c:ext>
            </c:extLst>
          </c:dPt>
          <c:dPt>
            <c:idx val="1"/>
            <c:bubble3D val="0"/>
            <c:spPr>
              <a:pattFill prst="ltUpDiag">
                <a:fgClr>
                  <a:schemeClr val="accent2"/>
                </a:fgClr>
                <a:bgClr>
                  <a:schemeClr val="accent2">
                    <a:lumMod val="20000"/>
                    <a:lumOff val="80000"/>
                  </a:schemeClr>
                </a:bgClr>
              </a:pattFill>
              <a:ln w="19050">
                <a:solidFill>
                  <a:schemeClr val="lt1"/>
                </a:solidFill>
              </a:ln>
              <a:effectLst>
                <a:innerShdw blurRad="114300">
                  <a:schemeClr val="accent2"/>
                </a:innerShdw>
              </a:effectLst>
            </c:spPr>
            <c:extLst>
              <c:ext xmlns:c16="http://schemas.microsoft.com/office/drawing/2014/chart" uri="{C3380CC4-5D6E-409C-BE32-E72D297353CC}">
                <c16:uniqueId val="{00000003-F006-4D90-912E-F52E05D2F81B}"/>
              </c:ext>
            </c:extLst>
          </c:dPt>
          <c:dPt>
            <c:idx val="2"/>
            <c:bubble3D val="0"/>
            <c:spPr>
              <a:pattFill prst="ltUpDiag">
                <a:fgClr>
                  <a:schemeClr val="accent3"/>
                </a:fgClr>
                <a:bgClr>
                  <a:schemeClr val="accent3">
                    <a:lumMod val="20000"/>
                    <a:lumOff val="80000"/>
                  </a:schemeClr>
                </a:bgClr>
              </a:pattFill>
              <a:ln w="19050">
                <a:solidFill>
                  <a:schemeClr val="lt1"/>
                </a:solidFill>
              </a:ln>
              <a:effectLst>
                <a:innerShdw blurRad="114300">
                  <a:schemeClr val="accent3"/>
                </a:innerShdw>
              </a:effectLst>
            </c:spPr>
            <c:extLst>
              <c:ext xmlns:c16="http://schemas.microsoft.com/office/drawing/2014/chart" uri="{C3380CC4-5D6E-409C-BE32-E72D297353CC}">
                <c16:uniqueId val="{00000005-F006-4D90-912E-F52E05D2F81B}"/>
              </c:ext>
            </c:extLst>
          </c:dPt>
          <c:dPt>
            <c:idx val="3"/>
            <c:bubble3D val="0"/>
            <c:spPr>
              <a:pattFill prst="ltUpDiag">
                <a:fgClr>
                  <a:schemeClr val="accent4"/>
                </a:fgClr>
                <a:bgClr>
                  <a:schemeClr val="accent4">
                    <a:lumMod val="20000"/>
                    <a:lumOff val="80000"/>
                  </a:schemeClr>
                </a:bgClr>
              </a:pattFill>
              <a:ln w="19050">
                <a:solidFill>
                  <a:schemeClr val="lt1"/>
                </a:solidFill>
              </a:ln>
              <a:effectLst>
                <a:innerShdw blurRad="114300">
                  <a:schemeClr val="accent4"/>
                </a:innerShdw>
              </a:effectLst>
            </c:spPr>
            <c:extLst>
              <c:ext xmlns:c16="http://schemas.microsoft.com/office/drawing/2014/chart" uri="{C3380CC4-5D6E-409C-BE32-E72D297353CC}">
                <c16:uniqueId val="{00000007-F006-4D90-912E-F52E05D2F81B}"/>
              </c:ext>
            </c:extLst>
          </c:dPt>
          <c:dPt>
            <c:idx val="4"/>
            <c:bubble3D val="0"/>
            <c:spPr>
              <a:pattFill prst="ltUpDiag">
                <a:fgClr>
                  <a:schemeClr val="accent5"/>
                </a:fgClr>
                <a:bgClr>
                  <a:schemeClr val="accent5">
                    <a:lumMod val="20000"/>
                    <a:lumOff val="80000"/>
                  </a:schemeClr>
                </a:bgClr>
              </a:pattFill>
              <a:ln w="19050">
                <a:solidFill>
                  <a:schemeClr val="lt1"/>
                </a:solidFill>
              </a:ln>
              <a:effectLst>
                <a:innerShdw blurRad="114300">
                  <a:schemeClr val="accent5"/>
                </a:innerShdw>
              </a:effectLst>
            </c:spPr>
            <c:extLst>
              <c:ext xmlns:c16="http://schemas.microsoft.com/office/drawing/2014/chart" uri="{C3380CC4-5D6E-409C-BE32-E72D297353CC}">
                <c16:uniqueId val="{00000009-F006-4D90-912E-F52E05D2F81B}"/>
              </c:ext>
            </c:extLst>
          </c:dPt>
          <c:dPt>
            <c:idx val="5"/>
            <c:bubble3D val="0"/>
            <c:spPr>
              <a:pattFill prst="ltUpDiag">
                <a:fgClr>
                  <a:schemeClr val="accent6"/>
                </a:fgClr>
                <a:bgClr>
                  <a:schemeClr val="accent6">
                    <a:lumMod val="20000"/>
                    <a:lumOff val="80000"/>
                  </a:schemeClr>
                </a:bgClr>
              </a:pattFill>
              <a:ln w="19050">
                <a:solidFill>
                  <a:schemeClr val="lt1"/>
                </a:solidFill>
              </a:ln>
              <a:effectLst>
                <a:innerShdw blurRad="114300">
                  <a:schemeClr val="accent6"/>
                </a:innerShdw>
              </a:effectLst>
            </c:spPr>
            <c:extLst>
              <c:ext xmlns:c16="http://schemas.microsoft.com/office/drawing/2014/chart" uri="{C3380CC4-5D6E-409C-BE32-E72D297353CC}">
                <c16:uniqueId val="{0000000B-F006-4D90-912E-F52E05D2F81B}"/>
              </c:ext>
            </c:extLst>
          </c:dPt>
          <c:dPt>
            <c:idx val="6"/>
            <c:bubble3D val="0"/>
            <c:spPr>
              <a:pattFill prst="ltUpDiag">
                <a:fgClr>
                  <a:schemeClr val="accent1">
                    <a:lumMod val="60000"/>
                  </a:schemeClr>
                </a:fgClr>
                <a:bgClr>
                  <a:schemeClr val="accent1">
                    <a:lumMod val="60000"/>
                    <a:lumMod val="20000"/>
                    <a:lumOff val="80000"/>
                  </a:schemeClr>
                </a:bgClr>
              </a:pattFill>
              <a:ln w="19050">
                <a:solidFill>
                  <a:schemeClr val="lt1"/>
                </a:solidFill>
              </a:ln>
              <a:effectLst>
                <a:innerShdw blurRad="114300">
                  <a:schemeClr val="accent1">
                    <a:lumMod val="60000"/>
                  </a:schemeClr>
                </a:innerShdw>
              </a:effectLst>
            </c:spPr>
            <c:extLst>
              <c:ext xmlns:c16="http://schemas.microsoft.com/office/drawing/2014/chart" uri="{C3380CC4-5D6E-409C-BE32-E72D297353CC}">
                <c16:uniqueId val="{0000000D-F006-4D90-912E-F52E05D2F81B}"/>
              </c:ext>
            </c:extLst>
          </c:dPt>
          <c:dLbls>
            <c:dLbl>
              <c:idx val="0"/>
              <c:layout>
                <c:manualLayout>
                  <c:x val="2.2375328083989502E-4"/>
                  <c:y val="-4.9588072324293648E-3"/>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1-F006-4D90-912E-F52E05D2F81B}"/>
                </c:ext>
              </c:extLst>
            </c:dLbl>
            <c:dLbl>
              <c:idx val="1"/>
              <c:layout>
                <c:manualLayout>
                  <c:x val="-2.2222878390201223E-2"/>
                  <c:y val="2.8842228054826311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3-F006-4D90-912E-F52E05D2F81B}"/>
                </c:ext>
              </c:extLst>
            </c:dLbl>
            <c:dLbl>
              <c:idx val="2"/>
              <c:layout>
                <c:manualLayout>
                  <c:x val="-3.6190507436570457E-2"/>
                  <c:y val="0.1059747739865850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5-F006-4D90-912E-F52E05D2F81B}"/>
                </c:ext>
              </c:extLst>
            </c:dLbl>
            <c:dLbl>
              <c:idx val="3"/>
              <c:layout>
                <c:manualLayout>
                  <c:x val="-5.868569553805774E-2"/>
                  <c:y val="-4.5894211140274171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7-F006-4D90-912E-F52E05D2F81B}"/>
                </c:ext>
              </c:extLst>
            </c:dLbl>
            <c:dLbl>
              <c:idx val="4"/>
              <c:layout>
                <c:manualLayout>
                  <c:x val="1.468503937007874E-3"/>
                  <c:y val="2.4512977544473565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9-F006-4D90-912E-F52E05D2F81B}"/>
                </c:ext>
              </c:extLst>
            </c:dLbl>
            <c:dLbl>
              <c:idx val="5"/>
              <c:layout>
                <c:manualLayout>
                  <c:x val="-5.1802930883639568E-2"/>
                  <c:y val="-2.388888888888889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B-F006-4D90-912E-F52E05D2F81B}"/>
                </c:ext>
              </c:extLst>
            </c:dLbl>
            <c:dLbl>
              <c:idx val="6"/>
              <c:layout>
                <c:manualLayout>
                  <c:x val="-2.4521216097987752E-2"/>
                  <c:y val="1.195683872849227E-4"/>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D-F006-4D90-912E-F52E05D2F81B}"/>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zh-TW"/>
              </a:p>
            </c:txPr>
            <c:dLblPos val="inEnd"/>
            <c:showLegendKey val="0"/>
            <c:showVal val="0"/>
            <c:showCatName val="1"/>
            <c:showSerName val="0"/>
            <c:showPercent val="1"/>
            <c:showBubbleSize val="0"/>
            <c:showLeaderLines val="1"/>
            <c:leaderLines>
              <c:spPr>
                <a:ln w="9525">
                  <a:solidFill>
                    <a:schemeClr val="tx1">
                      <a:lumMod val="35000"/>
                      <a:lumOff val="65000"/>
                    </a:schemeClr>
                  </a:solidFill>
                </a:ln>
                <a:effectLst/>
              </c:spPr>
            </c:leaderLines>
            <c:extLst>
              <c:ext xmlns:c15="http://schemas.microsoft.com/office/drawing/2012/chart" uri="{CE6537A1-D6FC-4f65-9D91-7224C49458BB}"/>
            </c:extLst>
          </c:dLbls>
          <c:cat>
            <c:strRef>
              <c:f>Basket!$F$1:$L$1</c:f>
              <c:strCache>
                <c:ptCount val="7"/>
                <c:pt idx="0">
                  <c:v>1.Nike</c:v>
                </c:pt>
                <c:pt idx="1">
                  <c:v>2.Adidas</c:v>
                </c:pt>
                <c:pt idx="2">
                  <c:v>3.ASICS</c:v>
                </c:pt>
                <c:pt idx="3">
                  <c:v>4.Mizuno</c:v>
                </c:pt>
                <c:pt idx="4">
                  <c:v>5.UA</c:v>
                </c:pt>
                <c:pt idx="5">
                  <c:v>6.Puma</c:v>
                </c:pt>
                <c:pt idx="6">
                  <c:v>7.無</c:v>
                </c:pt>
              </c:strCache>
            </c:strRef>
          </c:cat>
          <c:val>
            <c:numRef>
              <c:f>Basket!$F$411:$L$411</c:f>
              <c:numCache>
                <c:formatCode>0.00_);[Red]\(0.00\)</c:formatCode>
                <c:ptCount val="7"/>
                <c:pt idx="0">
                  <c:v>296</c:v>
                </c:pt>
                <c:pt idx="1">
                  <c:v>145</c:v>
                </c:pt>
                <c:pt idx="2">
                  <c:v>12</c:v>
                </c:pt>
                <c:pt idx="3">
                  <c:v>7</c:v>
                </c:pt>
                <c:pt idx="4">
                  <c:v>48</c:v>
                </c:pt>
                <c:pt idx="5">
                  <c:v>18</c:v>
                </c:pt>
                <c:pt idx="6">
                  <c:v>54</c:v>
                </c:pt>
              </c:numCache>
            </c:numRef>
          </c:val>
          <c:extLst>
            <c:ext xmlns:c16="http://schemas.microsoft.com/office/drawing/2014/chart" uri="{C3380CC4-5D6E-409C-BE32-E72D297353CC}">
              <c16:uniqueId val="{0000000E-F006-4D90-912E-F52E05D2F81B}"/>
            </c:ext>
          </c:extLst>
        </c:ser>
        <c:dLbls>
          <c:dLblPos val="inEnd"/>
          <c:showLegendKey val="0"/>
          <c:showVal val="0"/>
          <c:showCatName val="1"/>
          <c:showSerName val="0"/>
          <c:showPercent val="1"/>
          <c:showBubbleSize val="0"/>
          <c:showLeaderLines val="1"/>
        </c:dLbls>
        <c:firstSliceAng val="0"/>
      </c:pieChart>
      <c:spPr>
        <a:noFill/>
        <a:ln>
          <a:noFill/>
        </a:ln>
        <a:effectLst/>
      </c:spPr>
    </c:plotArea>
    <c:plotVisOnly val="1"/>
    <c:dispBlanksAs val="gap"/>
    <c:showDLblsOverMax val="0"/>
  </c:chart>
  <c:spPr>
    <a:noFill/>
    <a:ln w="9525" cap="flat" cmpd="sng" algn="ctr">
      <a:noFill/>
      <a:round/>
    </a:ln>
    <a:effectLst/>
  </c:spPr>
  <c:txPr>
    <a:bodyPr/>
    <a:lstStyle/>
    <a:p>
      <a:pPr>
        <a:defRPr/>
      </a:pPr>
      <a:endParaRPr lang="zh-TW"/>
    </a:p>
  </c:txPr>
  <c:externalData r:id="rId4">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pieChart>
        <c:varyColors val="1"/>
        <c:ser>
          <c:idx val="0"/>
          <c:order val="0"/>
          <c:dPt>
            <c:idx val="0"/>
            <c:bubble3D val="0"/>
            <c:spPr>
              <a:pattFill prst="ltUpDiag">
                <a:fgClr>
                  <a:schemeClr val="accent1"/>
                </a:fgClr>
                <a:bgClr>
                  <a:schemeClr val="accent1">
                    <a:lumMod val="20000"/>
                    <a:lumOff val="80000"/>
                  </a:schemeClr>
                </a:bgClr>
              </a:pattFill>
              <a:ln w="19050">
                <a:solidFill>
                  <a:schemeClr val="lt1"/>
                </a:solidFill>
              </a:ln>
              <a:effectLst>
                <a:innerShdw blurRad="114300">
                  <a:schemeClr val="accent1"/>
                </a:innerShdw>
              </a:effectLst>
            </c:spPr>
            <c:extLst>
              <c:ext xmlns:c16="http://schemas.microsoft.com/office/drawing/2014/chart" uri="{C3380CC4-5D6E-409C-BE32-E72D297353CC}">
                <c16:uniqueId val="{00000001-37F6-4C56-B6C8-0B5114C8B68C}"/>
              </c:ext>
            </c:extLst>
          </c:dPt>
          <c:dPt>
            <c:idx val="1"/>
            <c:bubble3D val="0"/>
            <c:spPr>
              <a:pattFill prst="ltUpDiag">
                <a:fgClr>
                  <a:schemeClr val="accent2"/>
                </a:fgClr>
                <a:bgClr>
                  <a:schemeClr val="accent2">
                    <a:lumMod val="20000"/>
                    <a:lumOff val="80000"/>
                  </a:schemeClr>
                </a:bgClr>
              </a:pattFill>
              <a:ln w="19050">
                <a:solidFill>
                  <a:schemeClr val="lt1"/>
                </a:solidFill>
              </a:ln>
              <a:effectLst>
                <a:innerShdw blurRad="114300">
                  <a:schemeClr val="accent2"/>
                </a:innerShdw>
              </a:effectLst>
            </c:spPr>
            <c:extLst>
              <c:ext xmlns:c16="http://schemas.microsoft.com/office/drawing/2014/chart" uri="{C3380CC4-5D6E-409C-BE32-E72D297353CC}">
                <c16:uniqueId val="{00000003-37F6-4C56-B6C8-0B5114C8B68C}"/>
              </c:ext>
            </c:extLst>
          </c:dPt>
          <c:dPt>
            <c:idx val="2"/>
            <c:bubble3D val="0"/>
            <c:spPr>
              <a:pattFill prst="ltUpDiag">
                <a:fgClr>
                  <a:schemeClr val="accent3"/>
                </a:fgClr>
                <a:bgClr>
                  <a:schemeClr val="accent3">
                    <a:lumMod val="20000"/>
                    <a:lumOff val="80000"/>
                  </a:schemeClr>
                </a:bgClr>
              </a:pattFill>
              <a:ln w="19050">
                <a:solidFill>
                  <a:schemeClr val="lt1"/>
                </a:solidFill>
              </a:ln>
              <a:effectLst>
                <a:innerShdw blurRad="114300">
                  <a:schemeClr val="accent3"/>
                </a:innerShdw>
              </a:effectLst>
            </c:spPr>
            <c:extLst>
              <c:ext xmlns:c16="http://schemas.microsoft.com/office/drawing/2014/chart" uri="{C3380CC4-5D6E-409C-BE32-E72D297353CC}">
                <c16:uniqueId val="{00000005-37F6-4C56-B6C8-0B5114C8B68C}"/>
              </c:ext>
            </c:extLst>
          </c:dPt>
          <c:dPt>
            <c:idx val="3"/>
            <c:bubble3D val="0"/>
            <c:spPr>
              <a:pattFill prst="ltUpDiag">
                <a:fgClr>
                  <a:schemeClr val="accent4"/>
                </a:fgClr>
                <a:bgClr>
                  <a:schemeClr val="accent4">
                    <a:lumMod val="20000"/>
                    <a:lumOff val="80000"/>
                  </a:schemeClr>
                </a:bgClr>
              </a:pattFill>
              <a:ln w="19050">
                <a:solidFill>
                  <a:schemeClr val="lt1"/>
                </a:solidFill>
              </a:ln>
              <a:effectLst>
                <a:innerShdw blurRad="114300">
                  <a:schemeClr val="accent4"/>
                </a:innerShdw>
              </a:effectLst>
            </c:spPr>
            <c:extLst>
              <c:ext xmlns:c16="http://schemas.microsoft.com/office/drawing/2014/chart" uri="{C3380CC4-5D6E-409C-BE32-E72D297353CC}">
                <c16:uniqueId val="{00000007-37F6-4C56-B6C8-0B5114C8B68C}"/>
              </c:ext>
            </c:extLst>
          </c:dPt>
          <c:dPt>
            <c:idx val="4"/>
            <c:bubble3D val="0"/>
            <c:spPr>
              <a:pattFill prst="ltUpDiag">
                <a:fgClr>
                  <a:schemeClr val="accent5"/>
                </a:fgClr>
                <a:bgClr>
                  <a:schemeClr val="accent5">
                    <a:lumMod val="20000"/>
                    <a:lumOff val="80000"/>
                  </a:schemeClr>
                </a:bgClr>
              </a:pattFill>
              <a:ln w="19050">
                <a:solidFill>
                  <a:schemeClr val="lt1"/>
                </a:solidFill>
              </a:ln>
              <a:effectLst>
                <a:innerShdw blurRad="114300">
                  <a:schemeClr val="accent5"/>
                </a:innerShdw>
              </a:effectLst>
            </c:spPr>
            <c:extLst>
              <c:ext xmlns:c16="http://schemas.microsoft.com/office/drawing/2014/chart" uri="{C3380CC4-5D6E-409C-BE32-E72D297353CC}">
                <c16:uniqueId val="{00000009-37F6-4C56-B6C8-0B5114C8B68C}"/>
              </c:ext>
            </c:extLst>
          </c:dPt>
          <c:dPt>
            <c:idx val="5"/>
            <c:bubble3D val="0"/>
            <c:spPr>
              <a:pattFill prst="ltUpDiag">
                <a:fgClr>
                  <a:schemeClr val="accent6"/>
                </a:fgClr>
                <a:bgClr>
                  <a:schemeClr val="accent6">
                    <a:lumMod val="20000"/>
                    <a:lumOff val="80000"/>
                  </a:schemeClr>
                </a:bgClr>
              </a:pattFill>
              <a:ln w="19050">
                <a:solidFill>
                  <a:schemeClr val="lt1"/>
                </a:solidFill>
              </a:ln>
              <a:effectLst>
                <a:innerShdw blurRad="114300">
                  <a:schemeClr val="accent6"/>
                </a:innerShdw>
              </a:effectLst>
            </c:spPr>
            <c:extLst>
              <c:ext xmlns:c16="http://schemas.microsoft.com/office/drawing/2014/chart" uri="{C3380CC4-5D6E-409C-BE32-E72D297353CC}">
                <c16:uniqueId val="{0000000B-37F6-4C56-B6C8-0B5114C8B68C}"/>
              </c:ext>
            </c:extLst>
          </c:dPt>
          <c:dPt>
            <c:idx val="6"/>
            <c:bubble3D val="0"/>
            <c:spPr>
              <a:pattFill prst="ltUpDiag">
                <a:fgClr>
                  <a:schemeClr val="accent1">
                    <a:lumMod val="60000"/>
                  </a:schemeClr>
                </a:fgClr>
                <a:bgClr>
                  <a:schemeClr val="accent1">
                    <a:lumMod val="60000"/>
                    <a:lumMod val="20000"/>
                    <a:lumOff val="80000"/>
                  </a:schemeClr>
                </a:bgClr>
              </a:pattFill>
              <a:ln w="19050">
                <a:solidFill>
                  <a:schemeClr val="lt1"/>
                </a:solidFill>
              </a:ln>
              <a:effectLst>
                <a:innerShdw blurRad="114300">
                  <a:schemeClr val="accent1">
                    <a:lumMod val="60000"/>
                  </a:schemeClr>
                </a:innerShdw>
              </a:effectLst>
            </c:spPr>
            <c:extLst>
              <c:ext xmlns:c16="http://schemas.microsoft.com/office/drawing/2014/chart" uri="{C3380CC4-5D6E-409C-BE32-E72D297353CC}">
                <c16:uniqueId val="{0000000D-37F6-4C56-B6C8-0B5114C8B68C}"/>
              </c:ext>
            </c:extLst>
          </c:dPt>
          <c:dLbls>
            <c:dLbl>
              <c:idx val="0"/>
              <c:layout>
                <c:manualLayout>
                  <c:x val="3.9403324584426948E-2"/>
                  <c:y val="6.6946996208807188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1-37F6-4C56-B6C8-0B5114C8B68C}"/>
                </c:ext>
              </c:extLst>
            </c:dLbl>
            <c:dLbl>
              <c:idx val="1"/>
              <c:layout>
                <c:manualLayout>
                  <c:x val="9.2650043744531937E-2"/>
                  <c:y val="-3.7190142898804318E-3"/>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3-37F6-4C56-B6C8-0B5114C8B68C}"/>
                </c:ext>
              </c:extLst>
            </c:dLbl>
            <c:dLbl>
              <c:idx val="2"/>
              <c:layout>
                <c:manualLayout>
                  <c:x val="-4.2249781277340359E-2"/>
                  <c:y val="3.4427311169437237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5-37F6-4C56-B6C8-0B5114C8B68C}"/>
                </c:ext>
              </c:extLst>
            </c:dLbl>
            <c:dLbl>
              <c:idx val="3"/>
              <c:layout>
                <c:manualLayout>
                  <c:x val="-6.3791994750656167E-2"/>
                  <c:y val="-5.5307669874599006E-3"/>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7-37F6-4C56-B6C8-0B5114C8B68C}"/>
                </c:ext>
              </c:extLst>
            </c:dLbl>
            <c:dLbl>
              <c:idx val="4"/>
              <c:layout>
                <c:manualLayout>
                  <c:x val="-7.1988407699037651E-2"/>
                  <c:y val="-3.950313502478861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9-37F6-4C56-B6C8-0B5114C8B68C}"/>
                </c:ext>
              </c:extLst>
            </c:dLbl>
            <c:dLbl>
              <c:idx val="5"/>
              <c:layout>
                <c:manualLayout>
                  <c:x val="-8.492563429571354E-3"/>
                  <c:y val="4.1186934966462523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B-37F6-4C56-B6C8-0B5114C8B68C}"/>
                </c:ext>
              </c:extLst>
            </c:dLbl>
            <c:dLbl>
              <c:idx val="6"/>
              <c:layout>
                <c:manualLayout>
                  <c:x val="-1.701706036745412E-2"/>
                  <c:y val="1.0309128025663458E-3"/>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D-37F6-4C56-B6C8-0B5114C8B68C}"/>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zh-TW"/>
              </a:p>
            </c:txPr>
            <c:dLblPos val="inEnd"/>
            <c:showLegendKey val="0"/>
            <c:showVal val="0"/>
            <c:showCatName val="1"/>
            <c:showSerName val="0"/>
            <c:showPercent val="1"/>
            <c:showBubbleSize val="0"/>
            <c:showLeaderLines val="1"/>
            <c:leaderLines>
              <c:spPr>
                <a:ln w="9525">
                  <a:solidFill>
                    <a:schemeClr val="tx1">
                      <a:lumMod val="35000"/>
                      <a:lumOff val="65000"/>
                    </a:schemeClr>
                  </a:solidFill>
                </a:ln>
                <a:effectLst/>
              </c:spPr>
            </c:leaderLines>
            <c:extLst>
              <c:ext xmlns:c15="http://schemas.microsoft.com/office/drawing/2012/chart" uri="{CE6537A1-D6FC-4f65-9D91-7224C49458BB}"/>
            </c:extLst>
          </c:dLbls>
          <c:cat>
            <c:strRef>
              <c:f>RUN!$F$1:$L$1</c:f>
              <c:strCache>
                <c:ptCount val="7"/>
                <c:pt idx="0">
                  <c:v>1.Nike</c:v>
                </c:pt>
                <c:pt idx="1">
                  <c:v>2.Adidas</c:v>
                </c:pt>
                <c:pt idx="2">
                  <c:v>3.ASICS</c:v>
                </c:pt>
                <c:pt idx="3">
                  <c:v>4.Mizuno</c:v>
                </c:pt>
                <c:pt idx="4">
                  <c:v>5.UA</c:v>
                </c:pt>
                <c:pt idx="5">
                  <c:v>6.Puma</c:v>
                </c:pt>
                <c:pt idx="6">
                  <c:v>7.無</c:v>
                </c:pt>
              </c:strCache>
            </c:strRef>
          </c:cat>
          <c:val>
            <c:numRef>
              <c:f>RUN!$F$411:$L$411</c:f>
              <c:numCache>
                <c:formatCode>0.00_);[Red]\(0.00\)</c:formatCode>
                <c:ptCount val="7"/>
                <c:pt idx="0">
                  <c:v>216</c:v>
                </c:pt>
                <c:pt idx="1">
                  <c:v>209</c:v>
                </c:pt>
                <c:pt idx="2">
                  <c:v>81</c:v>
                </c:pt>
                <c:pt idx="3">
                  <c:v>43</c:v>
                </c:pt>
                <c:pt idx="4">
                  <c:v>33</c:v>
                </c:pt>
                <c:pt idx="5">
                  <c:v>102</c:v>
                </c:pt>
                <c:pt idx="6">
                  <c:v>24</c:v>
                </c:pt>
              </c:numCache>
            </c:numRef>
          </c:val>
          <c:extLst>
            <c:ext xmlns:c16="http://schemas.microsoft.com/office/drawing/2014/chart" uri="{C3380CC4-5D6E-409C-BE32-E72D297353CC}">
              <c16:uniqueId val="{0000000E-37F6-4C56-B6C8-0B5114C8B68C}"/>
            </c:ext>
          </c:extLst>
        </c:ser>
        <c:dLbls>
          <c:dLblPos val="inEnd"/>
          <c:showLegendKey val="0"/>
          <c:showVal val="0"/>
          <c:showCatName val="1"/>
          <c:showSerName val="0"/>
          <c:showPercent val="1"/>
          <c:showBubbleSize val="0"/>
          <c:showLeaderLines val="1"/>
        </c:dLbls>
        <c:firstSliceAng val="0"/>
      </c:pieChart>
      <c:spPr>
        <a:noFill/>
        <a:ln>
          <a:noFill/>
        </a:ln>
        <a:effectLst/>
      </c:spPr>
    </c:plotArea>
    <c:plotVisOnly val="1"/>
    <c:dispBlanksAs val="gap"/>
    <c:showDLblsOverMax val="0"/>
  </c:chart>
  <c:spPr>
    <a:noFill/>
    <a:ln w="9525" cap="flat" cmpd="sng" algn="ctr">
      <a:noFill/>
      <a:round/>
    </a:ln>
    <a:effectLst/>
  </c:spPr>
  <c:txPr>
    <a:bodyPr/>
    <a:lstStyle/>
    <a:p>
      <a:pPr>
        <a:defRPr/>
      </a:pPr>
      <a:endParaRPr lang="zh-TW"/>
    </a:p>
  </c:txPr>
  <c:externalData r:id="rId4">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pieChart>
        <c:varyColors val="1"/>
        <c:ser>
          <c:idx val="0"/>
          <c:order val="0"/>
          <c:dPt>
            <c:idx val="0"/>
            <c:bubble3D val="0"/>
            <c:spPr>
              <a:pattFill prst="ltUpDiag">
                <a:fgClr>
                  <a:schemeClr val="accent1"/>
                </a:fgClr>
                <a:bgClr>
                  <a:schemeClr val="accent1">
                    <a:lumMod val="20000"/>
                    <a:lumOff val="80000"/>
                  </a:schemeClr>
                </a:bgClr>
              </a:pattFill>
              <a:ln w="19050">
                <a:solidFill>
                  <a:schemeClr val="lt1"/>
                </a:solidFill>
              </a:ln>
              <a:effectLst>
                <a:innerShdw blurRad="114300">
                  <a:schemeClr val="accent1"/>
                </a:innerShdw>
              </a:effectLst>
            </c:spPr>
            <c:extLst>
              <c:ext xmlns:c16="http://schemas.microsoft.com/office/drawing/2014/chart" uri="{C3380CC4-5D6E-409C-BE32-E72D297353CC}">
                <c16:uniqueId val="{00000001-A17E-4420-8702-5036A0D574A3}"/>
              </c:ext>
            </c:extLst>
          </c:dPt>
          <c:dPt>
            <c:idx val="1"/>
            <c:bubble3D val="0"/>
            <c:spPr>
              <a:pattFill prst="ltUpDiag">
                <a:fgClr>
                  <a:schemeClr val="accent2"/>
                </a:fgClr>
                <a:bgClr>
                  <a:schemeClr val="accent2">
                    <a:lumMod val="20000"/>
                    <a:lumOff val="80000"/>
                  </a:schemeClr>
                </a:bgClr>
              </a:pattFill>
              <a:ln w="19050">
                <a:solidFill>
                  <a:schemeClr val="lt1"/>
                </a:solidFill>
              </a:ln>
              <a:effectLst>
                <a:innerShdw blurRad="114300">
                  <a:schemeClr val="accent2"/>
                </a:innerShdw>
              </a:effectLst>
            </c:spPr>
            <c:extLst>
              <c:ext xmlns:c16="http://schemas.microsoft.com/office/drawing/2014/chart" uri="{C3380CC4-5D6E-409C-BE32-E72D297353CC}">
                <c16:uniqueId val="{00000003-A17E-4420-8702-5036A0D574A3}"/>
              </c:ext>
            </c:extLst>
          </c:dPt>
          <c:dPt>
            <c:idx val="2"/>
            <c:bubble3D val="0"/>
            <c:spPr>
              <a:pattFill prst="ltUpDiag">
                <a:fgClr>
                  <a:schemeClr val="accent3"/>
                </a:fgClr>
                <a:bgClr>
                  <a:schemeClr val="accent3">
                    <a:lumMod val="20000"/>
                    <a:lumOff val="80000"/>
                  </a:schemeClr>
                </a:bgClr>
              </a:pattFill>
              <a:ln w="19050">
                <a:solidFill>
                  <a:schemeClr val="lt1"/>
                </a:solidFill>
              </a:ln>
              <a:effectLst>
                <a:innerShdw blurRad="114300">
                  <a:schemeClr val="accent3"/>
                </a:innerShdw>
              </a:effectLst>
            </c:spPr>
            <c:extLst>
              <c:ext xmlns:c16="http://schemas.microsoft.com/office/drawing/2014/chart" uri="{C3380CC4-5D6E-409C-BE32-E72D297353CC}">
                <c16:uniqueId val="{00000005-A17E-4420-8702-5036A0D574A3}"/>
              </c:ext>
            </c:extLst>
          </c:dPt>
          <c:dPt>
            <c:idx val="3"/>
            <c:bubble3D val="0"/>
            <c:spPr>
              <a:pattFill prst="ltUpDiag">
                <a:fgClr>
                  <a:schemeClr val="accent4"/>
                </a:fgClr>
                <a:bgClr>
                  <a:schemeClr val="accent4">
                    <a:lumMod val="20000"/>
                    <a:lumOff val="80000"/>
                  </a:schemeClr>
                </a:bgClr>
              </a:pattFill>
              <a:ln w="19050">
                <a:solidFill>
                  <a:schemeClr val="lt1"/>
                </a:solidFill>
              </a:ln>
              <a:effectLst>
                <a:innerShdw blurRad="114300">
                  <a:schemeClr val="accent4"/>
                </a:innerShdw>
              </a:effectLst>
            </c:spPr>
            <c:extLst>
              <c:ext xmlns:c16="http://schemas.microsoft.com/office/drawing/2014/chart" uri="{C3380CC4-5D6E-409C-BE32-E72D297353CC}">
                <c16:uniqueId val="{00000007-A17E-4420-8702-5036A0D574A3}"/>
              </c:ext>
            </c:extLst>
          </c:dPt>
          <c:dPt>
            <c:idx val="4"/>
            <c:bubble3D val="0"/>
            <c:spPr>
              <a:pattFill prst="ltUpDiag">
                <a:fgClr>
                  <a:schemeClr val="accent5"/>
                </a:fgClr>
                <a:bgClr>
                  <a:schemeClr val="accent5">
                    <a:lumMod val="20000"/>
                    <a:lumOff val="80000"/>
                  </a:schemeClr>
                </a:bgClr>
              </a:pattFill>
              <a:ln w="19050">
                <a:solidFill>
                  <a:schemeClr val="lt1"/>
                </a:solidFill>
              </a:ln>
              <a:effectLst>
                <a:innerShdw blurRad="114300">
                  <a:schemeClr val="accent5"/>
                </a:innerShdw>
              </a:effectLst>
            </c:spPr>
            <c:extLst>
              <c:ext xmlns:c16="http://schemas.microsoft.com/office/drawing/2014/chart" uri="{C3380CC4-5D6E-409C-BE32-E72D297353CC}">
                <c16:uniqueId val="{00000009-A17E-4420-8702-5036A0D574A3}"/>
              </c:ext>
            </c:extLst>
          </c:dPt>
          <c:dPt>
            <c:idx val="5"/>
            <c:bubble3D val="0"/>
            <c:spPr>
              <a:pattFill prst="ltUpDiag">
                <a:fgClr>
                  <a:schemeClr val="accent6"/>
                </a:fgClr>
                <a:bgClr>
                  <a:schemeClr val="accent6">
                    <a:lumMod val="20000"/>
                    <a:lumOff val="80000"/>
                  </a:schemeClr>
                </a:bgClr>
              </a:pattFill>
              <a:ln w="19050">
                <a:solidFill>
                  <a:schemeClr val="lt1"/>
                </a:solidFill>
              </a:ln>
              <a:effectLst>
                <a:innerShdw blurRad="114300">
                  <a:schemeClr val="accent6"/>
                </a:innerShdw>
              </a:effectLst>
            </c:spPr>
            <c:extLst>
              <c:ext xmlns:c16="http://schemas.microsoft.com/office/drawing/2014/chart" uri="{C3380CC4-5D6E-409C-BE32-E72D297353CC}">
                <c16:uniqueId val="{0000000B-A17E-4420-8702-5036A0D574A3}"/>
              </c:ext>
            </c:extLst>
          </c:dPt>
          <c:dPt>
            <c:idx val="6"/>
            <c:bubble3D val="0"/>
            <c:spPr>
              <a:pattFill prst="ltUpDiag">
                <a:fgClr>
                  <a:schemeClr val="accent1">
                    <a:lumMod val="60000"/>
                  </a:schemeClr>
                </a:fgClr>
                <a:bgClr>
                  <a:schemeClr val="accent1">
                    <a:lumMod val="60000"/>
                    <a:lumMod val="20000"/>
                    <a:lumOff val="80000"/>
                  </a:schemeClr>
                </a:bgClr>
              </a:pattFill>
              <a:ln w="19050">
                <a:solidFill>
                  <a:schemeClr val="lt1"/>
                </a:solidFill>
              </a:ln>
              <a:effectLst>
                <a:innerShdw blurRad="114300">
                  <a:schemeClr val="accent1">
                    <a:lumMod val="60000"/>
                  </a:schemeClr>
                </a:innerShdw>
              </a:effectLst>
            </c:spPr>
            <c:extLst>
              <c:ext xmlns:c16="http://schemas.microsoft.com/office/drawing/2014/chart" uri="{C3380CC4-5D6E-409C-BE32-E72D297353CC}">
                <c16:uniqueId val="{0000000D-A17E-4420-8702-5036A0D574A3}"/>
              </c:ext>
            </c:extLst>
          </c:dPt>
          <c:dLbls>
            <c:dLbl>
              <c:idx val="0"/>
              <c:layout>
                <c:manualLayout>
                  <c:x val="3.5986001749781275E-2"/>
                  <c:y val="6.1621463983668731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1-A17E-4420-8702-5036A0D574A3}"/>
                </c:ext>
              </c:extLst>
            </c:dLbl>
            <c:dLbl>
              <c:idx val="1"/>
              <c:layout>
                <c:manualLayout>
                  <c:x val="9.6572615923009621E-3"/>
                  <c:y val="2.365084572761738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3-A17E-4420-8702-5036A0D574A3}"/>
                </c:ext>
              </c:extLst>
            </c:dLbl>
            <c:dLbl>
              <c:idx val="2"/>
              <c:layout>
                <c:manualLayout>
                  <c:x val="4.0159011373578302E-2"/>
                  <c:y val="-1.4162292213473485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5-A17E-4420-8702-5036A0D574A3}"/>
                </c:ext>
              </c:extLst>
            </c:dLbl>
            <c:dLbl>
              <c:idx val="3"/>
              <c:layout>
                <c:manualLayout>
                  <c:x val="-4.5484689413823269E-2"/>
                  <c:y val="-2.0547900262467191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7-A17E-4420-8702-5036A0D574A3}"/>
                </c:ext>
              </c:extLst>
            </c:dLbl>
            <c:dLbl>
              <c:idx val="4"/>
              <c:layout>
                <c:manualLayout>
                  <c:x val="-5.6021216097987749E-2"/>
                  <c:y val="-6.2685914260718258E-3"/>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9-A17E-4420-8702-5036A0D574A3}"/>
                </c:ext>
              </c:extLst>
            </c:dLbl>
            <c:dLbl>
              <c:idx val="5"/>
              <c:layout>
                <c:manualLayout>
                  <c:x val="-5.4319991251093616E-2"/>
                  <c:y val="-1.8531277340332459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B-A17E-4420-8702-5036A0D574A3}"/>
                </c:ext>
              </c:extLst>
            </c:dLbl>
            <c:dLbl>
              <c:idx val="6"/>
              <c:layout>
                <c:manualLayout>
                  <c:x val="-5.9966535433070914E-2"/>
                  <c:y val="-2.2151866433362498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D-A17E-4420-8702-5036A0D574A3}"/>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zh-TW"/>
              </a:p>
            </c:txPr>
            <c:dLblPos val="inEnd"/>
            <c:showLegendKey val="0"/>
            <c:showVal val="0"/>
            <c:showCatName val="1"/>
            <c:showSerName val="0"/>
            <c:showPercent val="1"/>
            <c:showBubbleSize val="0"/>
            <c:showLeaderLines val="1"/>
            <c:leaderLines>
              <c:spPr>
                <a:ln w="9525">
                  <a:solidFill>
                    <a:schemeClr val="tx1">
                      <a:lumMod val="35000"/>
                      <a:lumOff val="65000"/>
                    </a:schemeClr>
                  </a:solidFill>
                </a:ln>
                <a:effectLst/>
              </c:spPr>
            </c:leaderLines>
            <c:extLst>
              <c:ext xmlns:c15="http://schemas.microsoft.com/office/drawing/2012/chart" uri="{CE6537A1-D6FC-4f65-9D91-7224C49458BB}"/>
            </c:extLst>
          </c:dLbls>
          <c:cat>
            <c:strRef>
              <c:f>yu!$F$1:$L$1</c:f>
              <c:strCache>
                <c:ptCount val="7"/>
                <c:pt idx="0">
                  <c:v>1.Nike</c:v>
                </c:pt>
                <c:pt idx="1">
                  <c:v>2.Adidas</c:v>
                </c:pt>
                <c:pt idx="2">
                  <c:v>3.ASICS</c:v>
                </c:pt>
                <c:pt idx="3">
                  <c:v>4.Mizuno</c:v>
                </c:pt>
                <c:pt idx="4">
                  <c:v>5.UA</c:v>
                </c:pt>
                <c:pt idx="5">
                  <c:v>6.Puma</c:v>
                </c:pt>
                <c:pt idx="6">
                  <c:v>7.無</c:v>
                </c:pt>
              </c:strCache>
            </c:strRef>
          </c:cat>
          <c:val>
            <c:numRef>
              <c:f>yu!$F$411:$L$411</c:f>
              <c:numCache>
                <c:formatCode>0.00_);[Red]\(0.00\)</c:formatCode>
                <c:ptCount val="7"/>
                <c:pt idx="0">
                  <c:v>85</c:v>
                </c:pt>
                <c:pt idx="1">
                  <c:v>74</c:v>
                </c:pt>
                <c:pt idx="2">
                  <c:v>89</c:v>
                </c:pt>
                <c:pt idx="3">
                  <c:v>87</c:v>
                </c:pt>
                <c:pt idx="4">
                  <c:v>21</c:v>
                </c:pt>
                <c:pt idx="5">
                  <c:v>29</c:v>
                </c:pt>
                <c:pt idx="6">
                  <c:v>121</c:v>
                </c:pt>
              </c:numCache>
            </c:numRef>
          </c:val>
          <c:extLst>
            <c:ext xmlns:c16="http://schemas.microsoft.com/office/drawing/2014/chart" uri="{C3380CC4-5D6E-409C-BE32-E72D297353CC}">
              <c16:uniqueId val="{0000000E-A17E-4420-8702-5036A0D574A3}"/>
            </c:ext>
          </c:extLst>
        </c:ser>
        <c:dLbls>
          <c:dLblPos val="inEnd"/>
          <c:showLegendKey val="0"/>
          <c:showVal val="0"/>
          <c:showCatName val="1"/>
          <c:showSerName val="0"/>
          <c:showPercent val="1"/>
          <c:showBubbleSize val="0"/>
          <c:showLeaderLines val="1"/>
        </c:dLbls>
        <c:firstSliceAng val="0"/>
      </c:pieChart>
      <c:spPr>
        <a:noFill/>
        <a:ln>
          <a:noFill/>
        </a:ln>
        <a:effectLst/>
      </c:spPr>
    </c:plotArea>
    <c:plotVisOnly val="1"/>
    <c:dispBlanksAs val="gap"/>
    <c:showDLblsOverMax val="0"/>
  </c:chart>
  <c:spPr>
    <a:noFill/>
    <a:ln w="9525" cap="flat" cmpd="sng" algn="ctr">
      <a:noFill/>
      <a:round/>
    </a:ln>
    <a:effectLst/>
  </c:spPr>
  <c:txPr>
    <a:bodyPr/>
    <a:lstStyle/>
    <a:p>
      <a:pPr>
        <a:defRPr/>
      </a:pPr>
      <a:endParaRPr lang="zh-TW"/>
    </a:p>
  </c:txPr>
  <c:externalData r:id="rId4">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pieChart>
        <c:varyColors val="1"/>
        <c:ser>
          <c:idx val="0"/>
          <c:order val="0"/>
          <c:dPt>
            <c:idx val="0"/>
            <c:bubble3D val="0"/>
            <c:spPr>
              <a:pattFill prst="ltUpDiag">
                <a:fgClr>
                  <a:schemeClr val="accent1"/>
                </a:fgClr>
                <a:bgClr>
                  <a:schemeClr val="accent1">
                    <a:lumMod val="20000"/>
                    <a:lumOff val="80000"/>
                  </a:schemeClr>
                </a:bgClr>
              </a:pattFill>
              <a:ln w="19050">
                <a:solidFill>
                  <a:schemeClr val="lt1"/>
                </a:solidFill>
              </a:ln>
              <a:effectLst>
                <a:innerShdw blurRad="114300">
                  <a:schemeClr val="accent1"/>
                </a:innerShdw>
              </a:effectLst>
            </c:spPr>
            <c:extLst>
              <c:ext xmlns:c16="http://schemas.microsoft.com/office/drawing/2014/chart" uri="{C3380CC4-5D6E-409C-BE32-E72D297353CC}">
                <c16:uniqueId val="{00000001-8B02-440D-B88A-F12D29EBB211}"/>
              </c:ext>
            </c:extLst>
          </c:dPt>
          <c:dPt>
            <c:idx val="1"/>
            <c:bubble3D val="0"/>
            <c:spPr>
              <a:pattFill prst="ltUpDiag">
                <a:fgClr>
                  <a:schemeClr val="accent2"/>
                </a:fgClr>
                <a:bgClr>
                  <a:schemeClr val="accent2">
                    <a:lumMod val="20000"/>
                    <a:lumOff val="80000"/>
                  </a:schemeClr>
                </a:bgClr>
              </a:pattFill>
              <a:ln w="19050">
                <a:solidFill>
                  <a:schemeClr val="lt1"/>
                </a:solidFill>
              </a:ln>
              <a:effectLst>
                <a:innerShdw blurRad="114300">
                  <a:schemeClr val="accent2"/>
                </a:innerShdw>
              </a:effectLst>
            </c:spPr>
            <c:extLst>
              <c:ext xmlns:c16="http://schemas.microsoft.com/office/drawing/2014/chart" uri="{C3380CC4-5D6E-409C-BE32-E72D297353CC}">
                <c16:uniqueId val="{00000003-8B02-440D-B88A-F12D29EBB211}"/>
              </c:ext>
            </c:extLst>
          </c:dPt>
          <c:dPt>
            <c:idx val="2"/>
            <c:bubble3D val="0"/>
            <c:spPr>
              <a:pattFill prst="ltUpDiag">
                <a:fgClr>
                  <a:schemeClr val="accent3"/>
                </a:fgClr>
                <a:bgClr>
                  <a:schemeClr val="accent3">
                    <a:lumMod val="20000"/>
                    <a:lumOff val="80000"/>
                  </a:schemeClr>
                </a:bgClr>
              </a:pattFill>
              <a:ln w="19050">
                <a:solidFill>
                  <a:schemeClr val="lt1"/>
                </a:solidFill>
              </a:ln>
              <a:effectLst>
                <a:innerShdw blurRad="114300">
                  <a:schemeClr val="accent3"/>
                </a:innerShdw>
              </a:effectLst>
            </c:spPr>
            <c:extLst>
              <c:ext xmlns:c16="http://schemas.microsoft.com/office/drawing/2014/chart" uri="{C3380CC4-5D6E-409C-BE32-E72D297353CC}">
                <c16:uniqueId val="{00000005-8B02-440D-B88A-F12D29EBB211}"/>
              </c:ext>
            </c:extLst>
          </c:dPt>
          <c:dPt>
            <c:idx val="3"/>
            <c:bubble3D val="0"/>
            <c:spPr>
              <a:pattFill prst="ltUpDiag">
                <a:fgClr>
                  <a:schemeClr val="accent4"/>
                </a:fgClr>
                <a:bgClr>
                  <a:schemeClr val="accent4">
                    <a:lumMod val="20000"/>
                    <a:lumOff val="80000"/>
                  </a:schemeClr>
                </a:bgClr>
              </a:pattFill>
              <a:ln w="19050">
                <a:solidFill>
                  <a:schemeClr val="lt1"/>
                </a:solidFill>
              </a:ln>
              <a:effectLst>
                <a:innerShdw blurRad="114300">
                  <a:schemeClr val="accent4"/>
                </a:innerShdw>
              </a:effectLst>
            </c:spPr>
            <c:extLst>
              <c:ext xmlns:c16="http://schemas.microsoft.com/office/drawing/2014/chart" uri="{C3380CC4-5D6E-409C-BE32-E72D297353CC}">
                <c16:uniqueId val="{00000007-8B02-440D-B88A-F12D29EBB211}"/>
              </c:ext>
            </c:extLst>
          </c:dPt>
          <c:dPt>
            <c:idx val="4"/>
            <c:bubble3D val="0"/>
            <c:spPr>
              <a:pattFill prst="ltUpDiag">
                <a:fgClr>
                  <a:schemeClr val="accent5"/>
                </a:fgClr>
                <a:bgClr>
                  <a:schemeClr val="accent5">
                    <a:lumMod val="20000"/>
                    <a:lumOff val="80000"/>
                  </a:schemeClr>
                </a:bgClr>
              </a:pattFill>
              <a:ln w="19050">
                <a:solidFill>
                  <a:schemeClr val="lt1"/>
                </a:solidFill>
              </a:ln>
              <a:effectLst>
                <a:innerShdw blurRad="114300">
                  <a:schemeClr val="accent5"/>
                </a:innerShdw>
              </a:effectLst>
            </c:spPr>
            <c:extLst>
              <c:ext xmlns:c16="http://schemas.microsoft.com/office/drawing/2014/chart" uri="{C3380CC4-5D6E-409C-BE32-E72D297353CC}">
                <c16:uniqueId val="{00000009-8B02-440D-B88A-F12D29EBB211}"/>
              </c:ext>
            </c:extLst>
          </c:dPt>
          <c:dPt>
            <c:idx val="5"/>
            <c:bubble3D val="0"/>
            <c:spPr>
              <a:pattFill prst="ltUpDiag">
                <a:fgClr>
                  <a:schemeClr val="accent6"/>
                </a:fgClr>
                <a:bgClr>
                  <a:schemeClr val="accent6">
                    <a:lumMod val="20000"/>
                    <a:lumOff val="80000"/>
                  </a:schemeClr>
                </a:bgClr>
              </a:pattFill>
              <a:ln w="19050">
                <a:solidFill>
                  <a:schemeClr val="lt1"/>
                </a:solidFill>
              </a:ln>
              <a:effectLst>
                <a:innerShdw blurRad="114300">
                  <a:schemeClr val="accent6"/>
                </a:innerShdw>
              </a:effectLst>
            </c:spPr>
            <c:extLst>
              <c:ext xmlns:c16="http://schemas.microsoft.com/office/drawing/2014/chart" uri="{C3380CC4-5D6E-409C-BE32-E72D297353CC}">
                <c16:uniqueId val="{0000000B-8B02-440D-B88A-F12D29EBB211}"/>
              </c:ext>
            </c:extLst>
          </c:dPt>
          <c:dPt>
            <c:idx val="6"/>
            <c:bubble3D val="0"/>
            <c:spPr>
              <a:pattFill prst="ltUpDiag">
                <a:fgClr>
                  <a:schemeClr val="accent1">
                    <a:lumMod val="60000"/>
                  </a:schemeClr>
                </a:fgClr>
                <a:bgClr>
                  <a:schemeClr val="accent1">
                    <a:lumMod val="60000"/>
                    <a:lumMod val="20000"/>
                    <a:lumOff val="80000"/>
                  </a:schemeClr>
                </a:bgClr>
              </a:pattFill>
              <a:ln w="19050">
                <a:solidFill>
                  <a:schemeClr val="lt1"/>
                </a:solidFill>
              </a:ln>
              <a:effectLst>
                <a:innerShdw blurRad="114300">
                  <a:schemeClr val="accent1">
                    <a:lumMod val="60000"/>
                  </a:schemeClr>
                </a:innerShdw>
              </a:effectLst>
            </c:spPr>
            <c:extLst>
              <c:ext xmlns:c16="http://schemas.microsoft.com/office/drawing/2014/chart" uri="{C3380CC4-5D6E-409C-BE32-E72D297353CC}">
                <c16:uniqueId val="{0000000D-8B02-440D-B88A-F12D29EBB211}"/>
              </c:ext>
            </c:extLst>
          </c:dPt>
          <c:dLbls>
            <c:dLbl>
              <c:idx val="0"/>
              <c:layout>
                <c:manualLayout>
                  <c:x val="4.4022965879265089E-2"/>
                  <c:y val="2.955344123651208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1-8B02-440D-B88A-F12D29EBB211}"/>
                </c:ext>
              </c:extLst>
            </c:dLbl>
            <c:dLbl>
              <c:idx val="1"/>
              <c:layout>
                <c:manualLayout>
                  <c:x val="4.1922134733158256E-2"/>
                  <c:y val="7.5058326042577589E-3"/>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3-8B02-440D-B88A-F12D29EBB211}"/>
                </c:ext>
              </c:extLst>
            </c:dLbl>
            <c:dLbl>
              <c:idx val="2"/>
              <c:layout>
                <c:manualLayout>
                  <c:x val="3.0717191601049867E-2"/>
                  <c:y val="-1.3965441819772613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5-8B02-440D-B88A-F12D29EBB211}"/>
                </c:ext>
              </c:extLst>
            </c:dLbl>
            <c:dLbl>
              <c:idx val="3"/>
              <c:layout>
                <c:manualLayout>
                  <c:x val="-7.9873797025371826E-2"/>
                  <c:y val="-2.600867599883348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7-8B02-440D-B88A-F12D29EBB211}"/>
                </c:ext>
              </c:extLst>
            </c:dLbl>
            <c:dLbl>
              <c:idx val="4"/>
              <c:layout>
                <c:manualLayout>
                  <c:x val="-6.8584426946631652E-2"/>
                  <c:y val="4.9468503937007788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9-8B02-440D-B88A-F12D29EBB211}"/>
                </c:ext>
              </c:extLst>
            </c:dLbl>
            <c:dLbl>
              <c:idx val="5"/>
              <c:layout>
                <c:manualLayout>
                  <c:x val="-8.5846456692913381E-2"/>
                  <c:y val="-2.56641878098571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B-8B02-440D-B88A-F12D29EBB211}"/>
                </c:ext>
              </c:extLst>
            </c:dLbl>
            <c:dLbl>
              <c:idx val="6"/>
              <c:layout>
                <c:manualLayout>
                  <c:x val="-3.9426727909011423E-2"/>
                  <c:y val="1.5361621463983244E-3"/>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D-8B02-440D-B88A-F12D29EBB211}"/>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zh-TW"/>
              </a:p>
            </c:txPr>
            <c:dLblPos val="ctr"/>
            <c:showLegendKey val="0"/>
            <c:showVal val="0"/>
            <c:showCatName val="1"/>
            <c:showSerName val="0"/>
            <c:showPercent val="1"/>
            <c:showBubbleSize val="0"/>
            <c:showLeaderLines val="1"/>
            <c:leaderLines>
              <c:spPr>
                <a:ln w="9525">
                  <a:solidFill>
                    <a:schemeClr val="tx1">
                      <a:lumMod val="35000"/>
                      <a:lumOff val="65000"/>
                    </a:schemeClr>
                  </a:solidFill>
                </a:ln>
                <a:effectLst/>
              </c:spPr>
            </c:leaderLines>
            <c:extLst>
              <c:ext xmlns:c15="http://schemas.microsoft.com/office/drawing/2012/chart" uri="{CE6537A1-D6FC-4f65-9D91-7224C49458BB}"/>
            </c:extLst>
          </c:dLbls>
          <c:cat>
            <c:strRef>
              <c:f>voll!$F$1:$L$1</c:f>
              <c:strCache>
                <c:ptCount val="7"/>
                <c:pt idx="0">
                  <c:v>1.Nike</c:v>
                </c:pt>
                <c:pt idx="1">
                  <c:v>2.Adidas</c:v>
                </c:pt>
                <c:pt idx="2">
                  <c:v>3.ASICS</c:v>
                </c:pt>
                <c:pt idx="3">
                  <c:v>4.Mizuno</c:v>
                </c:pt>
                <c:pt idx="4">
                  <c:v>5.UA</c:v>
                </c:pt>
                <c:pt idx="5">
                  <c:v>6.Puma</c:v>
                </c:pt>
                <c:pt idx="6">
                  <c:v>7.無</c:v>
                </c:pt>
              </c:strCache>
            </c:strRef>
          </c:cat>
          <c:val>
            <c:numRef>
              <c:f>voll!$F$411:$L$411</c:f>
              <c:numCache>
                <c:formatCode>0.00_);[Red]\(0.00\)</c:formatCode>
                <c:ptCount val="7"/>
                <c:pt idx="0">
                  <c:v>74</c:v>
                </c:pt>
                <c:pt idx="1">
                  <c:v>62</c:v>
                </c:pt>
                <c:pt idx="2">
                  <c:v>97</c:v>
                </c:pt>
                <c:pt idx="3">
                  <c:v>117</c:v>
                </c:pt>
                <c:pt idx="4">
                  <c:v>13</c:v>
                </c:pt>
                <c:pt idx="5">
                  <c:v>22</c:v>
                </c:pt>
                <c:pt idx="6">
                  <c:v>117</c:v>
                </c:pt>
              </c:numCache>
            </c:numRef>
          </c:val>
          <c:extLst>
            <c:ext xmlns:c16="http://schemas.microsoft.com/office/drawing/2014/chart" uri="{C3380CC4-5D6E-409C-BE32-E72D297353CC}">
              <c16:uniqueId val="{0000000E-8B02-440D-B88A-F12D29EBB211}"/>
            </c:ext>
          </c:extLst>
        </c:ser>
        <c:dLbls>
          <c:dLblPos val="ctr"/>
          <c:showLegendKey val="0"/>
          <c:showVal val="0"/>
          <c:showCatName val="0"/>
          <c:showSerName val="0"/>
          <c:showPercent val="1"/>
          <c:showBubbleSize val="0"/>
          <c:showLeaderLines val="1"/>
        </c:dLbls>
        <c:firstSliceAng val="0"/>
      </c:pieChart>
      <c:spPr>
        <a:noFill/>
        <a:ln>
          <a:noFill/>
        </a:ln>
        <a:effectLst/>
      </c:spPr>
    </c:plotArea>
    <c:plotVisOnly val="1"/>
    <c:dispBlanksAs val="gap"/>
    <c:showDLblsOverMax val="0"/>
  </c:chart>
  <c:spPr>
    <a:noFill/>
    <a:ln w="9525" cap="flat" cmpd="sng" algn="ctr">
      <a:noFill/>
      <a:round/>
    </a:ln>
    <a:effectLst/>
  </c:spPr>
  <c:txPr>
    <a:bodyPr/>
    <a:lstStyle/>
    <a:p>
      <a:pPr>
        <a:defRPr/>
      </a:pPr>
      <a:endParaRPr lang="zh-TW"/>
    </a:p>
  </c:txPr>
  <c:externalData r:id="rId4">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pieChart>
        <c:varyColors val="1"/>
        <c:ser>
          <c:idx val="0"/>
          <c:order val="0"/>
          <c:dPt>
            <c:idx val="0"/>
            <c:bubble3D val="0"/>
            <c:spPr>
              <a:pattFill prst="ltUpDiag">
                <a:fgClr>
                  <a:schemeClr val="accent1"/>
                </a:fgClr>
                <a:bgClr>
                  <a:schemeClr val="accent1">
                    <a:lumMod val="20000"/>
                    <a:lumOff val="80000"/>
                  </a:schemeClr>
                </a:bgClr>
              </a:pattFill>
              <a:ln w="19050">
                <a:solidFill>
                  <a:schemeClr val="lt1"/>
                </a:solidFill>
              </a:ln>
              <a:effectLst>
                <a:innerShdw blurRad="114300">
                  <a:schemeClr val="accent1"/>
                </a:innerShdw>
              </a:effectLst>
            </c:spPr>
            <c:extLst>
              <c:ext xmlns:c16="http://schemas.microsoft.com/office/drawing/2014/chart" uri="{C3380CC4-5D6E-409C-BE32-E72D297353CC}">
                <c16:uniqueId val="{00000001-D62A-442F-A648-D95C78916B0A}"/>
              </c:ext>
            </c:extLst>
          </c:dPt>
          <c:dPt>
            <c:idx val="1"/>
            <c:bubble3D val="0"/>
            <c:spPr>
              <a:pattFill prst="ltUpDiag">
                <a:fgClr>
                  <a:schemeClr val="accent2"/>
                </a:fgClr>
                <a:bgClr>
                  <a:schemeClr val="accent2">
                    <a:lumMod val="20000"/>
                    <a:lumOff val="80000"/>
                  </a:schemeClr>
                </a:bgClr>
              </a:pattFill>
              <a:ln w="19050">
                <a:solidFill>
                  <a:schemeClr val="lt1"/>
                </a:solidFill>
              </a:ln>
              <a:effectLst>
                <a:innerShdw blurRad="114300">
                  <a:schemeClr val="accent2"/>
                </a:innerShdw>
              </a:effectLst>
            </c:spPr>
            <c:extLst>
              <c:ext xmlns:c16="http://schemas.microsoft.com/office/drawing/2014/chart" uri="{C3380CC4-5D6E-409C-BE32-E72D297353CC}">
                <c16:uniqueId val="{00000003-D62A-442F-A648-D95C78916B0A}"/>
              </c:ext>
            </c:extLst>
          </c:dPt>
          <c:dPt>
            <c:idx val="2"/>
            <c:bubble3D val="0"/>
            <c:spPr>
              <a:pattFill prst="ltUpDiag">
                <a:fgClr>
                  <a:schemeClr val="accent3"/>
                </a:fgClr>
                <a:bgClr>
                  <a:schemeClr val="accent3">
                    <a:lumMod val="20000"/>
                    <a:lumOff val="80000"/>
                  </a:schemeClr>
                </a:bgClr>
              </a:pattFill>
              <a:ln w="19050">
                <a:solidFill>
                  <a:schemeClr val="lt1"/>
                </a:solidFill>
              </a:ln>
              <a:effectLst>
                <a:innerShdw blurRad="114300">
                  <a:schemeClr val="accent3"/>
                </a:innerShdw>
              </a:effectLst>
            </c:spPr>
            <c:extLst>
              <c:ext xmlns:c16="http://schemas.microsoft.com/office/drawing/2014/chart" uri="{C3380CC4-5D6E-409C-BE32-E72D297353CC}">
                <c16:uniqueId val="{00000005-D62A-442F-A648-D95C78916B0A}"/>
              </c:ext>
            </c:extLst>
          </c:dPt>
          <c:dPt>
            <c:idx val="3"/>
            <c:bubble3D val="0"/>
            <c:spPr>
              <a:pattFill prst="ltUpDiag">
                <a:fgClr>
                  <a:schemeClr val="accent4"/>
                </a:fgClr>
                <a:bgClr>
                  <a:schemeClr val="accent4">
                    <a:lumMod val="20000"/>
                    <a:lumOff val="80000"/>
                  </a:schemeClr>
                </a:bgClr>
              </a:pattFill>
              <a:ln w="19050">
                <a:solidFill>
                  <a:schemeClr val="lt1"/>
                </a:solidFill>
              </a:ln>
              <a:effectLst>
                <a:innerShdw blurRad="114300">
                  <a:schemeClr val="accent4"/>
                </a:innerShdw>
              </a:effectLst>
            </c:spPr>
            <c:extLst>
              <c:ext xmlns:c16="http://schemas.microsoft.com/office/drawing/2014/chart" uri="{C3380CC4-5D6E-409C-BE32-E72D297353CC}">
                <c16:uniqueId val="{00000007-D62A-442F-A648-D95C78916B0A}"/>
              </c:ext>
            </c:extLst>
          </c:dPt>
          <c:dPt>
            <c:idx val="4"/>
            <c:bubble3D val="0"/>
            <c:spPr>
              <a:pattFill prst="ltUpDiag">
                <a:fgClr>
                  <a:schemeClr val="accent5"/>
                </a:fgClr>
                <a:bgClr>
                  <a:schemeClr val="accent5">
                    <a:lumMod val="20000"/>
                    <a:lumOff val="80000"/>
                  </a:schemeClr>
                </a:bgClr>
              </a:pattFill>
              <a:ln w="19050">
                <a:solidFill>
                  <a:schemeClr val="lt1"/>
                </a:solidFill>
              </a:ln>
              <a:effectLst>
                <a:innerShdw blurRad="114300">
                  <a:schemeClr val="accent5"/>
                </a:innerShdw>
              </a:effectLst>
            </c:spPr>
            <c:extLst>
              <c:ext xmlns:c16="http://schemas.microsoft.com/office/drawing/2014/chart" uri="{C3380CC4-5D6E-409C-BE32-E72D297353CC}">
                <c16:uniqueId val="{00000009-D62A-442F-A648-D95C78916B0A}"/>
              </c:ext>
            </c:extLst>
          </c:dPt>
          <c:dPt>
            <c:idx val="5"/>
            <c:bubble3D val="0"/>
            <c:spPr>
              <a:pattFill prst="ltUpDiag">
                <a:fgClr>
                  <a:schemeClr val="accent6"/>
                </a:fgClr>
                <a:bgClr>
                  <a:schemeClr val="accent6">
                    <a:lumMod val="20000"/>
                    <a:lumOff val="80000"/>
                  </a:schemeClr>
                </a:bgClr>
              </a:pattFill>
              <a:ln w="19050">
                <a:solidFill>
                  <a:schemeClr val="lt1"/>
                </a:solidFill>
              </a:ln>
              <a:effectLst>
                <a:innerShdw blurRad="114300">
                  <a:schemeClr val="accent6"/>
                </a:innerShdw>
              </a:effectLst>
            </c:spPr>
            <c:extLst>
              <c:ext xmlns:c16="http://schemas.microsoft.com/office/drawing/2014/chart" uri="{C3380CC4-5D6E-409C-BE32-E72D297353CC}">
                <c16:uniqueId val="{0000000B-D62A-442F-A648-D95C78916B0A}"/>
              </c:ext>
            </c:extLst>
          </c:dPt>
          <c:dPt>
            <c:idx val="6"/>
            <c:bubble3D val="0"/>
            <c:spPr>
              <a:pattFill prst="ltUpDiag">
                <a:fgClr>
                  <a:schemeClr val="accent1">
                    <a:lumMod val="60000"/>
                  </a:schemeClr>
                </a:fgClr>
                <a:bgClr>
                  <a:schemeClr val="accent1">
                    <a:lumMod val="60000"/>
                    <a:lumMod val="20000"/>
                    <a:lumOff val="80000"/>
                  </a:schemeClr>
                </a:bgClr>
              </a:pattFill>
              <a:ln w="19050">
                <a:solidFill>
                  <a:schemeClr val="lt1"/>
                </a:solidFill>
              </a:ln>
              <a:effectLst>
                <a:innerShdw blurRad="114300">
                  <a:schemeClr val="accent1">
                    <a:lumMod val="60000"/>
                  </a:schemeClr>
                </a:innerShdw>
              </a:effectLst>
            </c:spPr>
            <c:extLst>
              <c:ext xmlns:c16="http://schemas.microsoft.com/office/drawing/2014/chart" uri="{C3380CC4-5D6E-409C-BE32-E72D297353CC}">
                <c16:uniqueId val="{0000000D-D62A-442F-A648-D95C78916B0A}"/>
              </c:ext>
            </c:extLst>
          </c:dPt>
          <c:dLbls>
            <c:dLbl>
              <c:idx val="0"/>
              <c:layout>
                <c:manualLayout>
                  <c:x val="5.2529746281714786E-2"/>
                  <c:y val="1.9928915135608006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1-D62A-442F-A648-D95C78916B0A}"/>
                </c:ext>
              </c:extLst>
            </c:dLbl>
            <c:dLbl>
              <c:idx val="1"/>
              <c:layout>
                <c:manualLayout>
                  <c:x val="4.3748250218722556E-2"/>
                  <c:y val="-5.4677748614756487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3-D62A-442F-A648-D95C78916B0A}"/>
                </c:ext>
              </c:extLst>
            </c:dLbl>
            <c:dLbl>
              <c:idx val="2"/>
              <c:layout>
                <c:manualLayout>
                  <c:x val="9.9935039370078735E-2"/>
                  <c:y val="-4.572761738116069E-3"/>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5-D62A-442F-A648-D95C78916B0A}"/>
                </c:ext>
              </c:extLst>
            </c:dLbl>
            <c:dLbl>
              <c:idx val="3"/>
              <c:layout>
                <c:manualLayout>
                  <c:x val="-8.800349956255471E-2"/>
                  <c:y val="-3.0982429279673544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7-D62A-442F-A648-D95C78916B0A}"/>
                </c:ext>
              </c:extLst>
            </c:dLbl>
            <c:dLbl>
              <c:idx val="4"/>
              <c:layout>
                <c:manualLayout>
                  <c:x val="-0.1421773840769904"/>
                  <c:y val="-0.10106153397491997"/>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9-D62A-442F-A648-D95C78916B0A}"/>
                </c:ext>
              </c:extLst>
            </c:dLbl>
            <c:dLbl>
              <c:idx val="5"/>
              <c:layout>
                <c:manualLayout>
                  <c:x val="-0.10836351706036747"/>
                  <c:y val="-0.1255836249635462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B-D62A-442F-A648-D95C78916B0A}"/>
                </c:ext>
              </c:extLst>
            </c:dLbl>
            <c:dLbl>
              <c:idx val="6"/>
              <c:layout>
                <c:manualLayout>
                  <c:x val="-8.4183289588801405E-2"/>
                  <c:y val="-5.3150335374744805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D-D62A-442F-A648-D95C78916B0A}"/>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zh-TW"/>
              </a:p>
            </c:txPr>
            <c:dLblPos val="inEnd"/>
            <c:showLegendKey val="0"/>
            <c:showVal val="0"/>
            <c:showCatName val="1"/>
            <c:showSerName val="0"/>
            <c:showPercent val="1"/>
            <c:showBubbleSize val="0"/>
            <c:showLeaderLines val="1"/>
            <c:leaderLines>
              <c:spPr>
                <a:ln w="9525">
                  <a:solidFill>
                    <a:schemeClr val="tx1">
                      <a:lumMod val="35000"/>
                      <a:lumOff val="65000"/>
                    </a:schemeClr>
                  </a:solidFill>
                </a:ln>
                <a:effectLst/>
              </c:spPr>
            </c:leaderLines>
            <c:extLst>
              <c:ext xmlns:c15="http://schemas.microsoft.com/office/drawing/2012/chart" uri="{CE6537A1-D6FC-4f65-9D91-7224C49458BB}"/>
            </c:extLst>
          </c:dLbls>
          <c:cat>
            <c:strRef>
              <c:f>soc!$F$1:$L$1</c:f>
              <c:strCache>
                <c:ptCount val="7"/>
                <c:pt idx="0">
                  <c:v>1.Nike</c:v>
                </c:pt>
                <c:pt idx="1">
                  <c:v>2.Adidas</c:v>
                </c:pt>
                <c:pt idx="2">
                  <c:v>3.ASICS</c:v>
                </c:pt>
                <c:pt idx="3">
                  <c:v>4.Mizuno</c:v>
                </c:pt>
                <c:pt idx="4">
                  <c:v>5.UA</c:v>
                </c:pt>
                <c:pt idx="5">
                  <c:v>6.Puma</c:v>
                </c:pt>
                <c:pt idx="6">
                  <c:v>7.無</c:v>
                </c:pt>
              </c:strCache>
            </c:strRef>
          </c:cat>
          <c:val>
            <c:numRef>
              <c:f>soc!$F$411:$L$411</c:f>
              <c:numCache>
                <c:formatCode>0.00_);[Red]\(0.00\)</c:formatCode>
                <c:ptCount val="7"/>
                <c:pt idx="0">
                  <c:v>85</c:v>
                </c:pt>
                <c:pt idx="1">
                  <c:v>131</c:v>
                </c:pt>
                <c:pt idx="2">
                  <c:v>50</c:v>
                </c:pt>
                <c:pt idx="3">
                  <c:v>30</c:v>
                </c:pt>
                <c:pt idx="4">
                  <c:v>22</c:v>
                </c:pt>
                <c:pt idx="5">
                  <c:v>55</c:v>
                </c:pt>
                <c:pt idx="6">
                  <c:v>131</c:v>
                </c:pt>
              </c:numCache>
            </c:numRef>
          </c:val>
          <c:extLst>
            <c:ext xmlns:c16="http://schemas.microsoft.com/office/drawing/2014/chart" uri="{C3380CC4-5D6E-409C-BE32-E72D297353CC}">
              <c16:uniqueId val="{0000000E-D62A-442F-A648-D95C78916B0A}"/>
            </c:ext>
          </c:extLst>
        </c:ser>
        <c:dLbls>
          <c:dLblPos val="inEnd"/>
          <c:showLegendKey val="0"/>
          <c:showVal val="0"/>
          <c:showCatName val="0"/>
          <c:showSerName val="0"/>
          <c:showPercent val="1"/>
          <c:showBubbleSize val="0"/>
          <c:showLeaderLines val="1"/>
        </c:dLbls>
        <c:firstSliceAng val="0"/>
      </c:pieChart>
      <c:spPr>
        <a:noFill/>
        <a:ln>
          <a:noFill/>
        </a:ln>
        <a:effectLst/>
      </c:spPr>
    </c:plotArea>
    <c:plotVisOnly val="1"/>
    <c:dispBlanksAs val="gap"/>
    <c:showDLblsOverMax val="0"/>
  </c:chart>
  <c:spPr>
    <a:noFill/>
    <a:ln w="9525" cap="flat" cmpd="sng" algn="ctr">
      <a:noFill/>
      <a:round/>
    </a:ln>
    <a:effectLst/>
  </c:spPr>
  <c:txPr>
    <a:bodyPr/>
    <a:lstStyle/>
    <a:p>
      <a:pPr>
        <a:defRPr/>
      </a:pPr>
      <a:endParaRPr lang="zh-TW"/>
    </a:p>
  </c:txPr>
  <c:externalData r:id="rId4">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pieChart>
        <c:varyColors val="1"/>
        <c:ser>
          <c:idx val="0"/>
          <c:order val="0"/>
          <c:explosion val="2"/>
          <c:dPt>
            <c:idx val="0"/>
            <c:bubble3D val="0"/>
            <c:spPr>
              <a:pattFill prst="ltUpDiag">
                <a:fgClr>
                  <a:schemeClr val="accent1"/>
                </a:fgClr>
                <a:bgClr>
                  <a:schemeClr val="accent1">
                    <a:lumMod val="20000"/>
                    <a:lumOff val="80000"/>
                  </a:schemeClr>
                </a:bgClr>
              </a:pattFill>
              <a:ln w="19050">
                <a:solidFill>
                  <a:schemeClr val="lt1"/>
                </a:solidFill>
              </a:ln>
              <a:effectLst>
                <a:innerShdw blurRad="114300">
                  <a:schemeClr val="accent1"/>
                </a:innerShdw>
              </a:effectLst>
            </c:spPr>
            <c:extLst>
              <c:ext xmlns:c16="http://schemas.microsoft.com/office/drawing/2014/chart" uri="{C3380CC4-5D6E-409C-BE32-E72D297353CC}">
                <c16:uniqueId val="{00000001-5FEB-4989-A733-151656245A88}"/>
              </c:ext>
            </c:extLst>
          </c:dPt>
          <c:dPt>
            <c:idx val="1"/>
            <c:bubble3D val="0"/>
            <c:spPr>
              <a:pattFill prst="ltUpDiag">
                <a:fgClr>
                  <a:schemeClr val="accent2"/>
                </a:fgClr>
                <a:bgClr>
                  <a:schemeClr val="accent2">
                    <a:lumMod val="20000"/>
                    <a:lumOff val="80000"/>
                  </a:schemeClr>
                </a:bgClr>
              </a:pattFill>
              <a:ln w="19050">
                <a:solidFill>
                  <a:schemeClr val="lt1"/>
                </a:solidFill>
              </a:ln>
              <a:effectLst>
                <a:innerShdw blurRad="114300">
                  <a:schemeClr val="accent2"/>
                </a:innerShdw>
              </a:effectLst>
            </c:spPr>
            <c:extLst>
              <c:ext xmlns:c16="http://schemas.microsoft.com/office/drawing/2014/chart" uri="{C3380CC4-5D6E-409C-BE32-E72D297353CC}">
                <c16:uniqueId val="{00000003-5FEB-4989-A733-151656245A88}"/>
              </c:ext>
            </c:extLst>
          </c:dPt>
          <c:dPt>
            <c:idx val="2"/>
            <c:bubble3D val="0"/>
            <c:spPr>
              <a:pattFill prst="ltUpDiag">
                <a:fgClr>
                  <a:schemeClr val="accent3"/>
                </a:fgClr>
                <a:bgClr>
                  <a:schemeClr val="accent3">
                    <a:lumMod val="20000"/>
                    <a:lumOff val="80000"/>
                  </a:schemeClr>
                </a:bgClr>
              </a:pattFill>
              <a:ln w="19050">
                <a:solidFill>
                  <a:schemeClr val="lt1"/>
                </a:solidFill>
              </a:ln>
              <a:effectLst>
                <a:innerShdw blurRad="114300">
                  <a:schemeClr val="accent3"/>
                </a:innerShdw>
              </a:effectLst>
            </c:spPr>
            <c:extLst>
              <c:ext xmlns:c16="http://schemas.microsoft.com/office/drawing/2014/chart" uri="{C3380CC4-5D6E-409C-BE32-E72D297353CC}">
                <c16:uniqueId val="{00000005-5FEB-4989-A733-151656245A88}"/>
              </c:ext>
            </c:extLst>
          </c:dPt>
          <c:dPt>
            <c:idx val="3"/>
            <c:bubble3D val="0"/>
            <c:spPr>
              <a:pattFill prst="ltUpDiag">
                <a:fgClr>
                  <a:schemeClr val="accent4"/>
                </a:fgClr>
                <a:bgClr>
                  <a:schemeClr val="accent4">
                    <a:lumMod val="20000"/>
                    <a:lumOff val="80000"/>
                  </a:schemeClr>
                </a:bgClr>
              </a:pattFill>
              <a:ln w="19050">
                <a:solidFill>
                  <a:schemeClr val="lt1"/>
                </a:solidFill>
              </a:ln>
              <a:effectLst>
                <a:innerShdw blurRad="114300">
                  <a:schemeClr val="accent4"/>
                </a:innerShdw>
              </a:effectLst>
            </c:spPr>
            <c:extLst>
              <c:ext xmlns:c16="http://schemas.microsoft.com/office/drawing/2014/chart" uri="{C3380CC4-5D6E-409C-BE32-E72D297353CC}">
                <c16:uniqueId val="{00000007-5FEB-4989-A733-151656245A88}"/>
              </c:ext>
            </c:extLst>
          </c:dPt>
          <c:dPt>
            <c:idx val="4"/>
            <c:bubble3D val="0"/>
            <c:spPr>
              <a:pattFill prst="ltUpDiag">
                <a:fgClr>
                  <a:schemeClr val="accent5"/>
                </a:fgClr>
                <a:bgClr>
                  <a:schemeClr val="accent5">
                    <a:lumMod val="20000"/>
                    <a:lumOff val="80000"/>
                  </a:schemeClr>
                </a:bgClr>
              </a:pattFill>
              <a:ln w="19050">
                <a:solidFill>
                  <a:schemeClr val="lt1"/>
                </a:solidFill>
              </a:ln>
              <a:effectLst>
                <a:innerShdw blurRad="114300">
                  <a:schemeClr val="accent5"/>
                </a:innerShdw>
              </a:effectLst>
            </c:spPr>
            <c:extLst>
              <c:ext xmlns:c16="http://schemas.microsoft.com/office/drawing/2014/chart" uri="{C3380CC4-5D6E-409C-BE32-E72D297353CC}">
                <c16:uniqueId val="{00000009-5FEB-4989-A733-151656245A88}"/>
              </c:ext>
            </c:extLst>
          </c:dPt>
          <c:dPt>
            <c:idx val="5"/>
            <c:bubble3D val="0"/>
            <c:spPr>
              <a:pattFill prst="ltUpDiag">
                <a:fgClr>
                  <a:schemeClr val="accent6"/>
                </a:fgClr>
                <a:bgClr>
                  <a:schemeClr val="accent6">
                    <a:lumMod val="20000"/>
                    <a:lumOff val="80000"/>
                  </a:schemeClr>
                </a:bgClr>
              </a:pattFill>
              <a:ln w="19050">
                <a:solidFill>
                  <a:schemeClr val="lt1"/>
                </a:solidFill>
              </a:ln>
              <a:effectLst>
                <a:innerShdw blurRad="114300">
                  <a:schemeClr val="accent6"/>
                </a:innerShdw>
              </a:effectLst>
            </c:spPr>
            <c:extLst>
              <c:ext xmlns:c16="http://schemas.microsoft.com/office/drawing/2014/chart" uri="{C3380CC4-5D6E-409C-BE32-E72D297353CC}">
                <c16:uniqueId val="{0000000B-5FEB-4989-A733-151656245A88}"/>
              </c:ext>
            </c:extLst>
          </c:dPt>
          <c:dPt>
            <c:idx val="6"/>
            <c:bubble3D val="0"/>
            <c:spPr>
              <a:pattFill prst="ltUpDiag">
                <a:fgClr>
                  <a:schemeClr val="accent1">
                    <a:lumMod val="60000"/>
                  </a:schemeClr>
                </a:fgClr>
                <a:bgClr>
                  <a:schemeClr val="accent1">
                    <a:lumMod val="60000"/>
                    <a:lumMod val="20000"/>
                    <a:lumOff val="80000"/>
                  </a:schemeClr>
                </a:bgClr>
              </a:pattFill>
              <a:ln w="19050">
                <a:solidFill>
                  <a:schemeClr val="lt1"/>
                </a:solidFill>
              </a:ln>
              <a:effectLst>
                <a:innerShdw blurRad="114300">
                  <a:schemeClr val="accent1">
                    <a:lumMod val="60000"/>
                  </a:schemeClr>
                </a:innerShdw>
              </a:effectLst>
            </c:spPr>
            <c:extLst>
              <c:ext xmlns:c16="http://schemas.microsoft.com/office/drawing/2014/chart" uri="{C3380CC4-5D6E-409C-BE32-E72D297353CC}">
                <c16:uniqueId val="{0000000D-5FEB-4989-A733-151656245A88}"/>
              </c:ext>
            </c:extLst>
          </c:dPt>
          <c:dPt>
            <c:idx val="7"/>
            <c:bubble3D val="0"/>
            <c:spPr>
              <a:pattFill prst="ltUpDiag">
                <a:fgClr>
                  <a:schemeClr val="accent2">
                    <a:lumMod val="60000"/>
                  </a:schemeClr>
                </a:fgClr>
                <a:bgClr>
                  <a:schemeClr val="accent2">
                    <a:lumMod val="60000"/>
                    <a:lumMod val="20000"/>
                    <a:lumOff val="80000"/>
                  </a:schemeClr>
                </a:bgClr>
              </a:pattFill>
              <a:ln w="19050">
                <a:solidFill>
                  <a:schemeClr val="lt1"/>
                </a:solidFill>
              </a:ln>
              <a:effectLst>
                <a:innerShdw blurRad="114300">
                  <a:schemeClr val="accent2">
                    <a:lumMod val="60000"/>
                  </a:schemeClr>
                </a:innerShdw>
              </a:effectLst>
            </c:spPr>
            <c:extLst>
              <c:ext xmlns:c16="http://schemas.microsoft.com/office/drawing/2014/chart" uri="{C3380CC4-5D6E-409C-BE32-E72D297353CC}">
                <c16:uniqueId val="{0000000F-5FEB-4989-A733-151656245A88}"/>
              </c:ext>
            </c:extLst>
          </c:dPt>
          <c:dLbls>
            <c:dLbl>
              <c:idx val="0"/>
              <c:layout>
                <c:manualLayout>
                  <c:x val="7.1640201224846892E-2"/>
                  <c:y val="7.7150303764476943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1-5FEB-4989-A733-151656245A88}"/>
                </c:ext>
              </c:extLst>
            </c:dLbl>
            <c:dLbl>
              <c:idx val="1"/>
              <c:layout>
                <c:manualLayout>
                  <c:x val="4.2776246719160103E-2"/>
                  <c:y val="3.5827689370996458E-3"/>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3-5FEB-4989-A733-151656245A88}"/>
                </c:ext>
              </c:extLst>
            </c:dLbl>
            <c:dLbl>
              <c:idx val="2"/>
              <c:layout>
                <c:manualLayout>
                  <c:x val="0.19491557305336832"/>
                  <c:y val="-3.453921406677312E-3"/>
                </c:manualLayout>
              </c:layout>
              <c:spPr>
                <a:noFill/>
                <a:ln>
                  <a:noFill/>
                </a:ln>
                <a:effectLst/>
              </c:spPr>
              <c:txPr>
                <a:bodyPr rot="0" spcFirstLastPara="1" vertOverflow="ellipsis" vert="horz" wrap="square" lIns="38100" tIns="19050" rIns="38100" bIns="19050" anchor="ctr" anchorCtr="0">
                  <a:spAutoFit/>
                </a:bodyPr>
                <a:lstStyle/>
                <a:p>
                  <a:pPr algn="l">
                    <a:defRPr sz="900" b="0" i="0" u="none" strike="noStrike" kern="1200" baseline="0">
                      <a:solidFill>
                        <a:schemeClr val="tx1">
                          <a:lumMod val="75000"/>
                          <a:lumOff val="25000"/>
                        </a:schemeClr>
                      </a:solidFill>
                      <a:latin typeface="+mn-lt"/>
                      <a:ea typeface="+mn-ea"/>
                      <a:cs typeface="+mn-cs"/>
                    </a:defRPr>
                  </a:pPr>
                  <a:endParaRPr lang="zh-TW"/>
                </a:p>
              </c:txPr>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5-5FEB-4989-A733-151656245A88}"/>
                </c:ext>
              </c:extLst>
            </c:dLbl>
            <c:dLbl>
              <c:idx val="3"/>
              <c:layout>
                <c:manualLayout>
                  <c:x val="-4.8407917760279993E-2"/>
                  <c:y val="3.1139988620303154E-3"/>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7-5FEB-4989-A733-151656245A88}"/>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zh-TW"/>
              </a:p>
            </c:txPr>
            <c:dLblPos val="ctr"/>
            <c:showLegendKey val="0"/>
            <c:showVal val="0"/>
            <c:showCatName val="1"/>
            <c:showSerName val="0"/>
            <c:showPercent val="1"/>
            <c:showBubbleSize val="0"/>
            <c:showLeaderLines val="1"/>
            <c:leaderLines>
              <c:spPr>
                <a:ln w="9525">
                  <a:solidFill>
                    <a:schemeClr val="tx1">
                      <a:lumMod val="35000"/>
                      <a:lumOff val="65000"/>
                    </a:schemeClr>
                  </a:solidFill>
                </a:ln>
                <a:effectLst/>
              </c:spPr>
            </c:leaderLines>
            <c:extLst>
              <c:ext xmlns:c15="http://schemas.microsoft.com/office/drawing/2012/chart" uri="{CE6537A1-D6FC-4f65-9D91-7224C49458BB}"/>
            </c:extLst>
          </c:dLbls>
          <c:cat>
            <c:strRef>
              <c:f>得知方式!$F$1:$I$1</c:f>
              <c:strCache>
                <c:ptCount val="4"/>
                <c:pt idx="0">
                  <c:v>1. 雜誌</c:v>
                </c:pt>
                <c:pt idx="1">
                  <c:v>2. 影音廣告</c:v>
                </c:pt>
                <c:pt idx="2">
                  <c:v>3.他人介紹</c:v>
                </c:pt>
                <c:pt idx="3">
                  <c:v>4.社群媒體</c:v>
                </c:pt>
              </c:strCache>
            </c:strRef>
          </c:cat>
          <c:val>
            <c:numRef>
              <c:f>得知方式!$F$411:$I$411</c:f>
              <c:numCache>
                <c:formatCode>0.00_);[Red]\(0.00\)</c:formatCode>
                <c:ptCount val="4"/>
                <c:pt idx="0">
                  <c:v>82</c:v>
                </c:pt>
                <c:pt idx="1">
                  <c:v>196</c:v>
                </c:pt>
                <c:pt idx="2">
                  <c:v>157</c:v>
                </c:pt>
                <c:pt idx="3">
                  <c:v>292</c:v>
                </c:pt>
              </c:numCache>
            </c:numRef>
          </c:val>
          <c:extLst>
            <c:ext xmlns:c16="http://schemas.microsoft.com/office/drawing/2014/chart" uri="{C3380CC4-5D6E-409C-BE32-E72D297353CC}">
              <c16:uniqueId val="{00000010-5FEB-4989-A733-151656245A88}"/>
            </c:ext>
          </c:extLst>
        </c:ser>
        <c:dLbls>
          <c:dLblPos val="ctr"/>
          <c:showLegendKey val="0"/>
          <c:showVal val="0"/>
          <c:showCatName val="1"/>
          <c:showSerName val="0"/>
          <c:showPercent val="0"/>
          <c:showBubbleSize val="0"/>
          <c:showLeaderLines val="1"/>
        </c:dLbls>
        <c:firstSliceAng val="0"/>
      </c:pieChart>
      <c:spPr>
        <a:noFill/>
        <a:ln>
          <a:noFill/>
        </a:ln>
        <a:effectLst/>
      </c:spPr>
    </c:plotArea>
    <c:plotVisOnly val="1"/>
    <c:dispBlanksAs val="gap"/>
    <c:showDLblsOverMax val="0"/>
  </c:chart>
  <c:spPr>
    <a:noFill/>
    <a:ln w="9525" cap="flat" cmpd="sng" algn="ctr">
      <a:noFill/>
      <a:round/>
    </a:ln>
    <a:effectLst/>
  </c:spPr>
  <c:txPr>
    <a:bodyPr/>
    <a:lstStyle/>
    <a:p>
      <a:pPr>
        <a:defRPr/>
      </a:pPr>
      <a:endParaRPr lang="zh-TW"/>
    </a:p>
  </c:txPr>
  <c:externalData r:id="rId4">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2">
  <cs:axisTitle>
    <cs:lnRef idx="0"/>
    <cs:fillRef idx="0"/>
    <cs:effectRef idx="0"/>
    <cs:fontRef idx="minor">
      <a:schemeClr val="tx1">
        <a:lumMod val="65000"/>
        <a:lumOff val="35000"/>
      </a:schemeClr>
    </cs:fontRef>
    <cs:defRPr sz="900" b="1" kern="1200"/>
  </cs:axisTitle>
  <cs:categoryAxis>
    <cs:lnRef idx="0"/>
    <cs:fillRef idx="0"/>
    <cs:effectRef idx="0"/>
    <cs:fontRef idx="minor">
      <a:schemeClr val="tx1">
        <a:lumMod val="65000"/>
        <a:lumOff val="35000"/>
      </a:schemeClr>
    </cs:fontRef>
    <cs:spPr>
      <a:ln w="19050"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styleClr val="auto"/>
    </cs:effectRef>
    <cs:fontRef idx="minor">
      <a:schemeClr val="dk1"/>
    </cs:fontRef>
    <cs:spPr>
      <a:pattFill prst="ltUpDiag">
        <a:fgClr>
          <a:schemeClr val="phClr"/>
        </a:fgClr>
        <a:bgClr>
          <a:schemeClr val="phClr">
            <a:lumMod val="20000"/>
            <a:lumOff val="80000"/>
          </a:schemeClr>
        </a:bgClr>
      </a:pattFill>
      <a:ln w="19050">
        <a:solidFill>
          <a:schemeClr val="lt1"/>
        </a:solidFill>
      </a:ln>
      <a:effectLst>
        <a:innerShdw blurRad="114300">
          <a:schemeClr val="phClr"/>
        </a:innerShdw>
      </a:effectLst>
    </cs:spPr>
  </cs:dataPoint>
  <cs:dataPoint3D>
    <cs:lnRef idx="0"/>
    <cs:fillRef idx="0">
      <cs:styleClr val="auto"/>
    </cs:fillRef>
    <cs:effectRef idx="0"/>
    <cs:fontRef idx="minor">
      <a:schemeClr val="dk1"/>
    </cs:fontRef>
    <cs:spPr>
      <a:pattFill prst="ltUpDiag">
        <a:fgClr>
          <a:schemeClr val="phClr"/>
        </a:fgClr>
        <a:bgClr>
          <a:schemeClr val="phClr">
            <a:lumMod val="20000"/>
            <a:lumOff val="80000"/>
          </a:schemeClr>
        </a:bgClr>
      </a:pattFill>
      <a:ln w="19050">
        <a:solidFill>
          <a:schemeClr val="lt1"/>
        </a:solidFill>
      </a:ln>
      <a:effectLst>
        <a:innerShdw blurRad="114300">
          <a:schemeClr val="phClr"/>
        </a:innerShdw>
      </a:effectLst>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a:solidFill>
          <a:schemeClr val="tx1">
            <a:lumMod val="15000"/>
            <a:lumOff val="85000"/>
          </a:schemeClr>
        </a:solidFill>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50000"/>
        <a:lumOff val="50000"/>
      </a:schemeClr>
    </cs:fontRef>
    <cs:defRPr sz="1800" b="1" kern="1200" cap="all" spc="15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charts/style2.xml><?xml version="1.0" encoding="utf-8"?>
<cs:chartStyle xmlns:cs="http://schemas.microsoft.com/office/drawing/2012/chartStyle" xmlns:a="http://schemas.openxmlformats.org/drawingml/2006/main" id="252">
  <cs:axisTitle>
    <cs:lnRef idx="0"/>
    <cs:fillRef idx="0"/>
    <cs:effectRef idx="0"/>
    <cs:fontRef idx="minor">
      <a:schemeClr val="tx1">
        <a:lumMod val="65000"/>
        <a:lumOff val="35000"/>
      </a:schemeClr>
    </cs:fontRef>
    <cs:defRPr sz="900" b="1" kern="1200"/>
  </cs:axisTitle>
  <cs:categoryAxis>
    <cs:lnRef idx="0"/>
    <cs:fillRef idx="0"/>
    <cs:effectRef idx="0"/>
    <cs:fontRef idx="minor">
      <a:schemeClr val="tx1">
        <a:lumMod val="65000"/>
        <a:lumOff val="35000"/>
      </a:schemeClr>
    </cs:fontRef>
    <cs:spPr>
      <a:ln w="19050"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styleClr val="auto"/>
    </cs:effectRef>
    <cs:fontRef idx="minor">
      <a:schemeClr val="dk1"/>
    </cs:fontRef>
    <cs:spPr>
      <a:pattFill prst="ltUpDiag">
        <a:fgClr>
          <a:schemeClr val="phClr"/>
        </a:fgClr>
        <a:bgClr>
          <a:schemeClr val="phClr">
            <a:lumMod val="20000"/>
            <a:lumOff val="80000"/>
          </a:schemeClr>
        </a:bgClr>
      </a:pattFill>
      <a:ln w="19050">
        <a:solidFill>
          <a:schemeClr val="lt1"/>
        </a:solidFill>
      </a:ln>
      <a:effectLst>
        <a:innerShdw blurRad="114300">
          <a:schemeClr val="phClr"/>
        </a:innerShdw>
      </a:effectLst>
    </cs:spPr>
  </cs:dataPoint>
  <cs:dataPoint3D>
    <cs:lnRef idx="0"/>
    <cs:fillRef idx="0">
      <cs:styleClr val="auto"/>
    </cs:fillRef>
    <cs:effectRef idx="0"/>
    <cs:fontRef idx="minor">
      <a:schemeClr val="dk1"/>
    </cs:fontRef>
    <cs:spPr>
      <a:pattFill prst="ltUpDiag">
        <a:fgClr>
          <a:schemeClr val="phClr"/>
        </a:fgClr>
        <a:bgClr>
          <a:schemeClr val="phClr">
            <a:lumMod val="20000"/>
            <a:lumOff val="80000"/>
          </a:schemeClr>
        </a:bgClr>
      </a:pattFill>
      <a:ln w="19050">
        <a:solidFill>
          <a:schemeClr val="lt1"/>
        </a:solidFill>
      </a:ln>
      <a:effectLst>
        <a:innerShdw blurRad="114300">
          <a:schemeClr val="phClr"/>
        </a:innerShdw>
      </a:effectLst>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a:solidFill>
          <a:schemeClr val="tx1">
            <a:lumMod val="15000"/>
            <a:lumOff val="85000"/>
          </a:schemeClr>
        </a:solidFill>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50000"/>
        <a:lumOff val="50000"/>
      </a:schemeClr>
    </cs:fontRef>
    <cs:defRPr sz="1800" b="1" kern="1200" cap="all" spc="15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charts/style3.xml><?xml version="1.0" encoding="utf-8"?>
<cs:chartStyle xmlns:cs="http://schemas.microsoft.com/office/drawing/2012/chartStyle" xmlns:a="http://schemas.openxmlformats.org/drawingml/2006/main" id="252">
  <cs:axisTitle>
    <cs:lnRef idx="0"/>
    <cs:fillRef idx="0"/>
    <cs:effectRef idx="0"/>
    <cs:fontRef idx="minor">
      <a:schemeClr val="tx1">
        <a:lumMod val="65000"/>
        <a:lumOff val="35000"/>
      </a:schemeClr>
    </cs:fontRef>
    <cs:defRPr sz="900" b="1" kern="1200"/>
  </cs:axisTitle>
  <cs:categoryAxis>
    <cs:lnRef idx="0"/>
    <cs:fillRef idx="0"/>
    <cs:effectRef idx="0"/>
    <cs:fontRef idx="minor">
      <a:schemeClr val="tx1">
        <a:lumMod val="65000"/>
        <a:lumOff val="35000"/>
      </a:schemeClr>
    </cs:fontRef>
    <cs:spPr>
      <a:ln w="19050"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styleClr val="auto"/>
    </cs:effectRef>
    <cs:fontRef idx="minor">
      <a:schemeClr val="dk1"/>
    </cs:fontRef>
    <cs:spPr>
      <a:pattFill prst="ltUpDiag">
        <a:fgClr>
          <a:schemeClr val="phClr"/>
        </a:fgClr>
        <a:bgClr>
          <a:schemeClr val="phClr">
            <a:lumMod val="20000"/>
            <a:lumOff val="80000"/>
          </a:schemeClr>
        </a:bgClr>
      </a:pattFill>
      <a:ln w="19050">
        <a:solidFill>
          <a:schemeClr val="lt1"/>
        </a:solidFill>
      </a:ln>
      <a:effectLst>
        <a:innerShdw blurRad="114300">
          <a:schemeClr val="phClr"/>
        </a:innerShdw>
      </a:effectLst>
    </cs:spPr>
  </cs:dataPoint>
  <cs:dataPoint3D>
    <cs:lnRef idx="0"/>
    <cs:fillRef idx="0">
      <cs:styleClr val="auto"/>
    </cs:fillRef>
    <cs:effectRef idx="0"/>
    <cs:fontRef idx="minor">
      <a:schemeClr val="dk1"/>
    </cs:fontRef>
    <cs:spPr>
      <a:pattFill prst="ltUpDiag">
        <a:fgClr>
          <a:schemeClr val="phClr"/>
        </a:fgClr>
        <a:bgClr>
          <a:schemeClr val="phClr">
            <a:lumMod val="20000"/>
            <a:lumOff val="80000"/>
          </a:schemeClr>
        </a:bgClr>
      </a:pattFill>
      <a:ln w="19050">
        <a:solidFill>
          <a:schemeClr val="lt1"/>
        </a:solidFill>
      </a:ln>
      <a:effectLst>
        <a:innerShdw blurRad="114300">
          <a:schemeClr val="phClr"/>
        </a:innerShdw>
      </a:effectLst>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a:solidFill>
          <a:schemeClr val="tx1">
            <a:lumMod val="15000"/>
            <a:lumOff val="85000"/>
          </a:schemeClr>
        </a:solidFill>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50000"/>
        <a:lumOff val="50000"/>
      </a:schemeClr>
    </cs:fontRef>
    <cs:defRPr sz="1800" b="1" kern="1200" cap="all" spc="15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charts/style4.xml><?xml version="1.0" encoding="utf-8"?>
<cs:chartStyle xmlns:cs="http://schemas.microsoft.com/office/drawing/2012/chartStyle" xmlns:a="http://schemas.openxmlformats.org/drawingml/2006/main" id="252">
  <cs:axisTitle>
    <cs:lnRef idx="0"/>
    <cs:fillRef idx="0"/>
    <cs:effectRef idx="0"/>
    <cs:fontRef idx="minor">
      <a:schemeClr val="tx1">
        <a:lumMod val="65000"/>
        <a:lumOff val="35000"/>
      </a:schemeClr>
    </cs:fontRef>
    <cs:defRPr sz="900" b="1" kern="1200"/>
  </cs:axisTitle>
  <cs:categoryAxis>
    <cs:lnRef idx="0"/>
    <cs:fillRef idx="0"/>
    <cs:effectRef idx="0"/>
    <cs:fontRef idx="minor">
      <a:schemeClr val="tx1">
        <a:lumMod val="65000"/>
        <a:lumOff val="35000"/>
      </a:schemeClr>
    </cs:fontRef>
    <cs:spPr>
      <a:ln w="19050"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styleClr val="auto"/>
    </cs:effectRef>
    <cs:fontRef idx="minor">
      <a:schemeClr val="dk1"/>
    </cs:fontRef>
    <cs:spPr>
      <a:pattFill prst="ltUpDiag">
        <a:fgClr>
          <a:schemeClr val="phClr"/>
        </a:fgClr>
        <a:bgClr>
          <a:schemeClr val="phClr">
            <a:lumMod val="20000"/>
            <a:lumOff val="80000"/>
          </a:schemeClr>
        </a:bgClr>
      </a:pattFill>
      <a:ln w="19050">
        <a:solidFill>
          <a:schemeClr val="lt1"/>
        </a:solidFill>
      </a:ln>
      <a:effectLst>
        <a:innerShdw blurRad="114300">
          <a:schemeClr val="phClr"/>
        </a:innerShdw>
      </a:effectLst>
    </cs:spPr>
  </cs:dataPoint>
  <cs:dataPoint3D>
    <cs:lnRef idx="0"/>
    <cs:fillRef idx="0">
      <cs:styleClr val="auto"/>
    </cs:fillRef>
    <cs:effectRef idx="0"/>
    <cs:fontRef idx="minor">
      <a:schemeClr val="dk1"/>
    </cs:fontRef>
    <cs:spPr>
      <a:pattFill prst="ltUpDiag">
        <a:fgClr>
          <a:schemeClr val="phClr"/>
        </a:fgClr>
        <a:bgClr>
          <a:schemeClr val="phClr">
            <a:lumMod val="20000"/>
            <a:lumOff val="80000"/>
          </a:schemeClr>
        </a:bgClr>
      </a:pattFill>
      <a:ln w="19050">
        <a:solidFill>
          <a:schemeClr val="lt1"/>
        </a:solidFill>
      </a:ln>
      <a:effectLst>
        <a:innerShdw blurRad="114300">
          <a:schemeClr val="phClr"/>
        </a:innerShdw>
      </a:effectLst>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a:solidFill>
          <a:schemeClr val="tx1">
            <a:lumMod val="15000"/>
            <a:lumOff val="85000"/>
          </a:schemeClr>
        </a:solidFill>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50000"/>
        <a:lumOff val="50000"/>
      </a:schemeClr>
    </cs:fontRef>
    <cs:defRPr sz="1800" b="1" kern="1200" cap="all" spc="15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charts/style5.xml><?xml version="1.0" encoding="utf-8"?>
<cs:chartStyle xmlns:cs="http://schemas.microsoft.com/office/drawing/2012/chartStyle" xmlns:a="http://schemas.openxmlformats.org/drawingml/2006/main" id="252">
  <cs:axisTitle>
    <cs:lnRef idx="0"/>
    <cs:fillRef idx="0"/>
    <cs:effectRef idx="0"/>
    <cs:fontRef idx="minor">
      <a:schemeClr val="tx1">
        <a:lumMod val="65000"/>
        <a:lumOff val="35000"/>
      </a:schemeClr>
    </cs:fontRef>
    <cs:defRPr sz="900" b="1" kern="1200"/>
  </cs:axisTitle>
  <cs:categoryAxis>
    <cs:lnRef idx="0"/>
    <cs:fillRef idx="0"/>
    <cs:effectRef idx="0"/>
    <cs:fontRef idx="minor">
      <a:schemeClr val="tx1">
        <a:lumMod val="65000"/>
        <a:lumOff val="35000"/>
      </a:schemeClr>
    </cs:fontRef>
    <cs:spPr>
      <a:ln w="19050"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styleClr val="auto"/>
    </cs:effectRef>
    <cs:fontRef idx="minor">
      <a:schemeClr val="dk1"/>
    </cs:fontRef>
    <cs:spPr>
      <a:pattFill prst="ltUpDiag">
        <a:fgClr>
          <a:schemeClr val="phClr"/>
        </a:fgClr>
        <a:bgClr>
          <a:schemeClr val="phClr">
            <a:lumMod val="20000"/>
            <a:lumOff val="80000"/>
          </a:schemeClr>
        </a:bgClr>
      </a:pattFill>
      <a:ln w="19050">
        <a:solidFill>
          <a:schemeClr val="lt1"/>
        </a:solidFill>
      </a:ln>
      <a:effectLst>
        <a:innerShdw blurRad="114300">
          <a:schemeClr val="phClr"/>
        </a:innerShdw>
      </a:effectLst>
    </cs:spPr>
  </cs:dataPoint>
  <cs:dataPoint3D>
    <cs:lnRef idx="0"/>
    <cs:fillRef idx="0">
      <cs:styleClr val="auto"/>
    </cs:fillRef>
    <cs:effectRef idx="0"/>
    <cs:fontRef idx="minor">
      <a:schemeClr val="dk1"/>
    </cs:fontRef>
    <cs:spPr>
      <a:pattFill prst="ltUpDiag">
        <a:fgClr>
          <a:schemeClr val="phClr"/>
        </a:fgClr>
        <a:bgClr>
          <a:schemeClr val="phClr">
            <a:lumMod val="20000"/>
            <a:lumOff val="80000"/>
          </a:schemeClr>
        </a:bgClr>
      </a:pattFill>
      <a:ln w="19050">
        <a:solidFill>
          <a:schemeClr val="lt1"/>
        </a:solidFill>
      </a:ln>
      <a:effectLst>
        <a:innerShdw blurRad="114300">
          <a:schemeClr val="phClr"/>
        </a:innerShdw>
      </a:effectLst>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a:solidFill>
          <a:schemeClr val="tx1">
            <a:lumMod val="15000"/>
            <a:lumOff val="85000"/>
          </a:schemeClr>
        </a:solidFill>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50000"/>
        <a:lumOff val="50000"/>
      </a:schemeClr>
    </cs:fontRef>
    <cs:defRPr sz="1800" b="1" kern="1200" cap="all" spc="15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charts/style6.xml><?xml version="1.0" encoding="utf-8"?>
<cs:chartStyle xmlns:cs="http://schemas.microsoft.com/office/drawing/2012/chartStyle" xmlns:a="http://schemas.openxmlformats.org/drawingml/2006/main" id="252">
  <cs:axisTitle>
    <cs:lnRef idx="0"/>
    <cs:fillRef idx="0"/>
    <cs:effectRef idx="0"/>
    <cs:fontRef idx="minor">
      <a:schemeClr val="tx1">
        <a:lumMod val="65000"/>
        <a:lumOff val="35000"/>
      </a:schemeClr>
    </cs:fontRef>
    <cs:defRPr sz="900" b="1" kern="1200"/>
  </cs:axisTitle>
  <cs:categoryAxis>
    <cs:lnRef idx="0"/>
    <cs:fillRef idx="0"/>
    <cs:effectRef idx="0"/>
    <cs:fontRef idx="minor">
      <a:schemeClr val="tx1">
        <a:lumMod val="65000"/>
        <a:lumOff val="35000"/>
      </a:schemeClr>
    </cs:fontRef>
    <cs:spPr>
      <a:ln w="19050"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styleClr val="auto"/>
    </cs:effectRef>
    <cs:fontRef idx="minor">
      <a:schemeClr val="dk1"/>
    </cs:fontRef>
    <cs:spPr>
      <a:pattFill prst="ltUpDiag">
        <a:fgClr>
          <a:schemeClr val="phClr"/>
        </a:fgClr>
        <a:bgClr>
          <a:schemeClr val="phClr">
            <a:lumMod val="20000"/>
            <a:lumOff val="80000"/>
          </a:schemeClr>
        </a:bgClr>
      </a:pattFill>
      <a:ln w="19050">
        <a:solidFill>
          <a:schemeClr val="lt1"/>
        </a:solidFill>
      </a:ln>
      <a:effectLst>
        <a:innerShdw blurRad="114300">
          <a:schemeClr val="phClr"/>
        </a:innerShdw>
      </a:effectLst>
    </cs:spPr>
  </cs:dataPoint>
  <cs:dataPoint3D>
    <cs:lnRef idx="0"/>
    <cs:fillRef idx="0">
      <cs:styleClr val="auto"/>
    </cs:fillRef>
    <cs:effectRef idx="0"/>
    <cs:fontRef idx="minor">
      <a:schemeClr val="dk1"/>
    </cs:fontRef>
    <cs:spPr>
      <a:pattFill prst="ltUpDiag">
        <a:fgClr>
          <a:schemeClr val="phClr"/>
        </a:fgClr>
        <a:bgClr>
          <a:schemeClr val="phClr">
            <a:lumMod val="20000"/>
            <a:lumOff val="80000"/>
          </a:schemeClr>
        </a:bgClr>
      </a:pattFill>
      <a:ln w="19050">
        <a:solidFill>
          <a:schemeClr val="lt1"/>
        </a:solidFill>
      </a:ln>
      <a:effectLst>
        <a:innerShdw blurRad="114300">
          <a:schemeClr val="phClr"/>
        </a:innerShdw>
      </a:effectLst>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a:solidFill>
          <a:schemeClr val="tx1">
            <a:lumMod val="15000"/>
            <a:lumOff val="85000"/>
          </a:schemeClr>
        </a:solidFill>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50000"/>
        <a:lumOff val="50000"/>
      </a:schemeClr>
    </cs:fontRef>
    <cs:defRPr sz="1800" b="1" kern="1200" cap="all" spc="15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charts/style7.xml><?xml version="1.0" encoding="utf-8"?>
<cs:chartStyle xmlns:cs="http://schemas.microsoft.com/office/drawing/2012/chartStyle" xmlns:a="http://schemas.openxmlformats.org/drawingml/2006/main" id="252">
  <cs:axisTitle>
    <cs:lnRef idx="0"/>
    <cs:fillRef idx="0"/>
    <cs:effectRef idx="0"/>
    <cs:fontRef idx="minor">
      <a:schemeClr val="tx1">
        <a:lumMod val="65000"/>
        <a:lumOff val="35000"/>
      </a:schemeClr>
    </cs:fontRef>
    <cs:defRPr sz="900" b="1" kern="1200"/>
  </cs:axisTitle>
  <cs:categoryAxis>
    <cs:lnRef idx="0"/>
    <cs:fillRef idx="0"/>
    <cs:effectRef idx="0"/>
    <cs:fontRef idx="minor">
      <a:schemeClr val="tx1">
        <a:lumMod val="65000"/>
        <a:lumOff val="35000"/>
      </a:schemeClr>
    </cs:fontRef>
    <cs:spPr>
      <a:ln w="19050"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styleClr val="auto"/>
    </cs:effectRef>
    <cs:fontRef idx="minor">
      <a:schemeClr val="dk1"/>
    </cs:fontRef>
    <cs:spPr>
      <a:pattFill prst="ltUpDiag">
        <a:fgClr>
          <a:schemeClr val="phClr"/>
        </a:fgClr>
        <a:bgClr>
          <a:schemeClr val="phClr">
            <a:lumMod val="20000"/>
            <a:lumOff val="80000"/>
          </a:schemeClr>
        </a:bgClr>
      </a:pattFill>
      <a:ln w="19050">
        <a:solidFill>
          <a:schemeClr val="lt1"/>
        </a:solidFill>
      </a:ln>
      <a:effectLst>
        <a:innerShdw blurRad="114300">
          <a:schemeClr val="phClr"/>
        </a:innerShdw>
      </a:effectLst>
    </cs:spPr>
  </cs:dataPoint>
  <cs:dataPoint3D>
    <cs:lnRef idx="0"/>
    <cs:fillRef idx="0">
      <cs:styleClr val="auto"/>
    </cs:fillRef>
    <cs:effectRef idx="0"/>
    <cs:fontRef idx="minor">
      <a:schemeClr val="dk1"/>
    </cs:fontRef>
    <cs:spPr>
      <a:pattFill prst="ltUpDiag">
        <a:fgClr>
          <a:schemeClr val="phClr"/>
        </a:fgClr>
        <a:bgClr>
          <a:schemeClr val="phClr">
            <a:lumMod val="20000"/>
            <a:lumOff val="80000"/>
          </a:schemeClr>
        </a:bgClr>
      </a:pattFill>
      <a:ln w="19050">
        <a:solidFill>
          <a:schemeClr val="lt1"/>
        </a:solidFill>
      </a:ln>
      <a:effectLst>
        <a:innerShdw blurRad="114300">
          <a:schemeClr val="phClr"/>
        </a:innerShdw>
      </a:effectLst>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a:solidFill>
          <a:schemeClr val="tx1">
            <a:lumMod val="15000"/>
            <a:lumOff val="85000"/>
          </a:schemeClr>
        </a:solidFill>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50000"/>
        <a:lumOff val="50000"/>
      </a:schemeClr>
    </cs:fontRef>
    <cs:defRPr sz="1800" b="1" kern="1200" cap="all" spc="15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charts/style8.xml><?xml version="1.0" encoding="utf-8"?>
<cs:chartStyle xmlns:cs="http://schemas.microsoft.com/office/drawing/2012/chartStyle" xmlns:a="http://schemas.openxmlformats.org/drawingml/2006/main" id="252">
  <cs:axisTitle>
    <cs:lnRef idx="0"/>
    <cs:fillRef idx="0"/>
    <cs:effectRef idx="0"/>
    <cs:fontRef idx="minor">
      <a:schemeClr val="tx1">
        <a:lumMod val="65000"/>
        <a:lumOff val="35000"/>
      </a:schemeClr>
    </cs:fontRef>
    <cs:defRPr sz="900" b="1" kern="1200"/>
  </cs:axisTitle>
  <cs:categoryAxis>
    <cs:lnRef idx="0"/>
    <cs:fillRef idx="0"/>
    <cs:effectRef idx="0"/>
    <cs:fontRef idx="minor">
      <a:schemeClr val="tx1">
        <a:lumMod val="65000"/>
        <a:lumOff val="35000"/>
      </a:schemeClr>
    </cs:fontRef>
    <cs:spPr>
      <a:ln w="19050"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styleClr val="auto"/>
    </cs:effectRef>
    <cs:fontRef idx="minor">
      <a:schemeClr val="dk1"/>
    </cs:fontRef>
    <cs:spPr>
      <a:pattFill prst="ltUpDiag">
        <a:fgClr>
          <a:schemeClr val="phClr"/>
        </a:fgClr>
        <a:bgClr>
          <a:schemeClr val="phClr">
            <a:lumMod val="20000"/>
            <a:lumOff val="80000"/>
          </a:schemeClr>
        </a:bgClr>
      </a:pattFill>
      <a:ln w="19050">
        <a:solidFill>
          <a:schemeClr val="lt1"/>
        </a:solidFill>
      </a:ln>
      <a:effectLst>
        <a:innerShdw blurRad="114300">
          <a:schemeClr val="phClr"/>
        </a:innerShdw>
      </a:effectLst>
    </cs:spPr>
  </cs:dataPoint>
  <cs:dataPoint3D>
    <cs:lnRef idx="0"/>
    <cs:fillRef idx="0">
      <cs:styleClr val="auto"/>
    </cs:fillRef>
    <cs:effectRef idx="0"/>
    <cs:fontRef idx="minor">
      <a:schemeClr val="dk1"/>
    </cs:fontRef>
    <cs:spPr>
      <a:pattFill prst="ltUpDiag">
        <a:fgClr>
          <a:schemeClr val="phClr"/>
        </a:fgClr>
        <a:bgClr>
          <a:schemeClr val="phClr">
            <a:lumMod val="20000"/>
            <a:lumOff val="80000"/>
          </a:schemeClr>
        </a:bgClr>
      </a:pattFill>
      <a:ln w="19050">
        <a:solidFill>
          <a:schemeClr val="lt1"/>
        </a:solidFill>
      </a:ln>
      <a:effectLst>
        <a:innerShdw blurRad="114300">
          <a:schemeClr val="phClr"/>
        </a:innerShdw>
      </a:effectLst>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a:solidFill>
          <a:schemeClr val="tx1">
            <a:lumMod val="15000"/>
            <a:lumOff val="85000"/>
          </a:schemeClr>
        </a:solidFill>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50000"/>
        <a:lumOff val="50000"/>
      </a:schemeClr>
    </cs:fontRef>
    <cs:defRPr sz="1800" b="1" kern="1200" cap="all" spc="15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charts/style9.xml><?xml version="1.0" encoding="utf-8"?>
<cs:chartStyle xmlns:cs="http://schemas.microsoft.com/office/drawing/2012/chartStyle" xmlns:a="http://schemas.openxmlformats.org/drawingml/2006/main" id="252">
  <cs:axisTitle>
    <cs:lnRef idx="0"/>
    <cs:fillRef idx="0"/>
    <cs:effectRef idx="0"/>
    <cs:fontRef idx="minor">
      <a:schemeClr val="tx1">
        <a:lumMod val="65000"/>
        <a:lumOff val="35000"/>
      </a:schemeClr>
    </cs:fontRef>
    <cs:defRPr sz="900" b="1" kern="1200"/>
  </cs:axisTitle>
  <cs:categoryAxis>
    <cs:lnRef idx="0"/>
    <cs:fillRef idx="0"/>
    <cs:effectRef idx="0"/>
    <cs:fontRef idx="minor">
      <a:schemeClr val="tx1">
        <a:lumMod val="65000"/>
        <a:lumOff val="35000"/>
      </a:schemeClr>
    </cs:fontRef>
    <cs:spPr>
      <a:ln w="19050"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styleClr val="auto"/>
    </cs:effectRef>
    <cs:fontRef idx="minor">
      <a:schemeClr val="dk1"/>
    </cs:fontRef>
    <cs:spPr>
      <a:pattFill prst="ltUpDiag">
        <a:fgClr>
          <a:schemeClr val="phClr"/>
        </a:fgClr>
        <a:bgClr>
          <a:schemeClr val="phClr">
            <a:lumMod val="20000"/>
            <a:lumOff val="80000"/>
          </a:schemeClr>
        </a:bgClr>
      </a:pattFill>
      <a:ln w="19050">
        <a:solidFill>
          <a:schemeClr val="lt1"/>
        </a:solidFill>
      </a:ln>
      <a:effectLst>
        <a:innerShdw blurRad="114300">
          <a:schemeClr val="phClr"/>
        </a:innerShdw>
      </a:effectLst>
    </cs:spPr>
  </cs:dataPoint>
  <cs:dataPoint3D>
    <cs:lnRef idx="0"/>
    <cs:fillRef idx="0">
      <cs:styleClr val="auto"/>
    </cs:fillRef>
    <cs:effectRef idx="0"/>
    <cs:fontRef idx="minor">
      <a:schemeClr val="dk1"/>
    </cs:fontRef>
    <cs:spPr>
      <a:pattFill prst="ltUpDiag">
        <a:fgClr>
          <a:schemeClr val="phClr"/>
        </a:fgClr>
        <a:bgClr>
          <a:schemeClr val="phClr">
            <a:lumMod val="20000"/>
            <a:lumOff val="80000"/>
          </a:schemeClr>
        </a:bgClr>
      </a:pattFill>
      <a:ln w="19050">
        <a:solidFill>
          <a:schemeClr val="lt1"/>
        </a:solidFill>
      </a:ln>
      <a:effectLst>
        <a:innerShdw blurRad="114300">
          <a:schemeClr val="phClr"/>
        </a:innerShdw>
      </a:effectLst>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a:solidFill>
          <a:schemeClr val="tx1">
            <a:lumMod val="15000"/>
            <a:lumOff val="85000"/>
          </a:schemeClr>
        </a:solidFill>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50000"/>
        <a:lumOff val="50000"/>
      </a:schemeClr>
    </cs:fontRef>
    <cs:defRPr sz="1800" b="1" kern="1200" cap="all" spc="15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8.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9.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3076CA-0077-4309-B8EA-03938F862A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11</Pages>
  <Words>2962</Words>
  <Characters>16889</Characters>
  <Application>Microsoft Office Word</Application>
  <DocSecurity>0</DocSecurity>
  <Lines>140</Lines>
  <Paragraphs>39</Paragraphs>
  <ScaleCrop>false</ScaleCrop>
  <Company/>
  <LinksUpToDate>false</LinksUpToDate>
  <CharactersWithSpaces>19812</CharactersWithSpaces>
  <SharedDoc>false</SharedDoc>
  <HLinks>
    <vt:vector size="12" baseType="variant">
      <vt:variant>
        <vt:i4>4390984</vt:i4>
      </vt:variant>
      <vt:variant>
        <vt:i4>234</vt:i4>
      </vt:variant>
      <vt:variant>
        <vt:i4>0</vt:i4>
      </vt:variant>
      <vt:variant>
        <vt:i4>5</vt:i4>
      </vt:variant>
      <vt:variant>
        <vt:lpwstr>https://www.sa.gov.tw/News/NewsDetail?Type=3&amp;page=9&amp;id=1963&amp;n=92</vt:lpwstr>
      </vt:variant>
      <vt:variant>
        <vt:lpwstr/>
      </vt:variant>
      <vt:variant>
        <vt:i4>2359339</vt:i4>
      </vt:variant>
      <vt:variant>
        <vt:i4>231</vt:i4>
      </vt:variant>
      <vt:variant>
        <vt:i4>0</vt:i4>
      </vt:variant>
      <vt:variant>
        <vt:i4>5</vt:i4>
      </vt:variant>
      <vt:variant>
        <vt:lpwstr>https://kknews.cc/zh-tw/sports/vrvvqm2.html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論文題目(中文)</dc:title>
  <dc:subject/>
  <dc:creator>edo</dc:creator>
  <cp:keywords/>
  <dc:description/>
  <cp:lastModifiedBy>謝建騰</cp:lastModifiedBy>
  <cp:revision>3</cp:revision>
  <cp:lastPrinted>2021-05-02T09:13:00Z</cp:lastPrinted>
  <dcterms:created xsi:type="dcterms:W3CDTF">2021-05-18T06:14:00Z</dcterms:created>
  <dcterms:modified xsi:type="dcterms:W3CDTF">2023-11-22T07:01:00Z</dcterms:modified>
</cp:coreProperties>
</file>